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9A8E1" w14:textId="77777777" w:rsidR="003844B6" w:rsidRDefault="003844B6" w:rsidP="003844B6">
      <w:pPr>
        <w:pStyle w:val="Heading1"/>
        <w:spacing w:before="0"/>
        <w:rPr>
          <w:color w:val="auto"/>
        </w:rPr>
      </w:pPr>
      <w:r>
        <w:rPr>
          <w:noProof/>
        </w:rPr>
        <w:drawing>
          <wp:anchor distT="0" distB="0" distL="114300" distR="114300" simplePos="0" relativeHeight="251659264" behindDoc="1" locked="0" layoutInCell="1" allowOverlap="1" wp14:anchorId="1CE5A2E8" wp14:editId="30A772E1">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Pr="003C6AD6">
        <w:rPr>
          <w:noProof/>
        </w:rPr>
        <w:t>Interpreting tables reporting tests of association and tests of effectiveness</w:t>
      </w:r>
    </w:p>
    <w:p w14:paraId="6540C209" w14:textId="2B3D9FCD" w:rsidR="003844B6" w:rsidRDefault="003844B6" w:rsidP="003844B6">
      <w:pPr>
        <w:pStyle w:val="Heading2"/>
      </w:pPr>
      <w:r>
        <w:t>Worksheet</w:t>
      </w:r>
    </w:p>
    <w:p w14:paraId="0060CEAE" w14:textId="77777777" w:rsidR="003844B6" w:rsidRDefault="003844B6" w:rsidP="003844B6"/>
    <w:p w14:paraId="48881758" w14:textId="77777777" w:rsidR="003844B6" w:rsidRDefault="003844B6" w:rsidP="003844B6">
      <w:pPr>
        <w:rPr>
          <w:rFonts w:eastAsia="Times New Roman"/>
          <w:color w:val="174E86"/>
        </w:rPr>
      </w:pPr>
      <w:r>
        <w:t xml:space="preserve">Full resource: </w:t>
      </w:r>
      <w:r w:rsidRPr="00B3688B">
        <w:rPr>
          <w:rFonts w:eastAsia="Times New Roman"/>
          <w:color w:val="174E86"/>
        </w:rPr>
        <w:t>https://www.ncrm.ac.uk/resources/online/all/?id=20847</w:t>
      </w:r>
    </w:p>
    <w:p w14:paraId="6DDCBE94" w14:textId="77777777" w:rsidR="003844B6" w:rsidRDefault="003844B6" w:rsidP="003844B6"/>
    <w:p w14:paraId="31A46B1E" w14:textId="77777777" w:rsidR="003844B6" w:rsidRDefault="003844B6" w:rsidP="003844B6"/>
    <w:p w14:paraId="4201DB41" w14:textId="23AEDBFF" w:rsidR="00FD1719" w:rsidRPr="0083325C" w:rsidRDefault="00814494">
      <w:r w:rsidRPr="0083325C">
        <w:t xml:space="preserve">You are reading a paper reporting </w:t>
      </w:r>
      <w:r w:rsidR="00170DF6" w:rsidRPr="0083325C">
        <w:t>results from</w:t>
      </w:r>
      <w:r w:rsidRPr="0083325C">
        <w:t xml:space="preserve"> a </w:t>
      </w:r>
      <w:r w:rsidR="00134318" w:rsidRPr="0083325C">
        <w:t>cross-sectional survey</w:t>
      </w:r>
      <w:r w:rsidR="006274BF" w:rsidRPr="0083325C">
        <w:t xml:space="preserve">, where researchers </w:t>
      </w:r>
      <w:r w:rsidR="00134318" w:rsidRPr="0083325C">
        <w:t xml:space="preserve">aimed to </w:t>
      </w:r>
      <w:r w:rsidR="0047023F" w:rsidRPr="0083325C">
        <w:t xml:space="preserve">measure the association between </w:t>
      </w:r>
      <w:r w:rsidR="002B6CCC" w:rsidRPr="0083325C">
        <w:t>undergraduate students’ self-a</w:t>
      </w:r>
      <w:r w:rsidR="00D76058" w:rsidRPr="0083325C">
        <w:t>ppraisal</w:t>
      </w:r>
      <w:r w:rsidR="002B6CCC" w:rsidRPr="0083325C">
        <w:t xml:space="preserve"> of academic skills</w:t>
      </w:r>
      <w:r w:rsidR="004C7DB2" w:rsidRPr="0083325C">
        <w:t>, measured on a scale from 1 to 5, where 1 is “not confident at all” and 5 is “extremely confident”</w:t>
      </w:r>
      <w:r w:rsidR="002B6CCC" w:rsidRPr="0083325C">
        <w:t xml:space="preserve"> and </w:t>
      </w:r>
      <w:r w:rsidR="00AA063F" w:rsidRPr="0083325C">
        <w:t xml:space="preserve">their </w:t>
      </w:r>
      <w:r w:rsidR="00F03996" w:rsidRPr="0083325C">
        <w:t>marks</w:t>
      </w:r>
      <w:r w:rsidR="00646079" w:rsidRPr="0083325C">
        <w:t>, measured on a scale from 0 to 10</w:t>
      </w:r>
      <w:r w:rsidR="003B6E6C" w:rsidRPr="0083325C">
        <w:t>.</w:t>
      </w:r>
      <w:r w:rsidR="0014706E" w:rsidRPr="0083325C">
        <w:t xml:space="preserve"> </w:t>
      </w:r>
      <w:r w:rsidR="008E7044" w:rsidRPr="0083325C">
        <w:t xml:space="preserve">The </w:t>
      </w:r>
      <w:r w:rsidR="00D76058" w:rsidRPr="0083325C">
        <w:t>results</w:t>
      </w:r>
      <w:r w:rsidR="008E7044" w:rsidRPr="0083325C">
        <w:t xml:space="preserve"> table reports the following:</w:t>
      </w:r>
    </w:p>
    <w:tbl>
      <w:tblPr>
        <w:tblStyle w:val="TableGrid1"/>
        <w:tblW w:w="6487" w:type="dxa"/>
        <w:tblLayout w:type="fixed"/>
        <w:tblLook w:val="04A0" w:firstRow="1" w:lastRow="0" w:firstColumn="1" w:lastColumn="0" w:noHBand="0" w:noVBand="1"/>
      </w:tblPr>
      <w:tblGrid>
        <w:gridCol w:w="2943"/>
        <w:gridCol w:w="993"/>
        <w:gridCol w:w="850"/>
        <w:gridCol w:w="851"/>
        <w:gridCol w:w="850"/>
      </w:tblGrid>
      <w:tr w:rsidR="004C7DB2" w:rsidRPr="0083325C" w14:paraId="3214E99F" w14:textId="77777777" w:rsidTr="004C7DB2">
        <w:trPr>
          <w:trHeight w:val="300"/>
        </w:trPr>
        <w:tc>
          <w:tcPr>
            <w:tcW w:w="2943" w:type="dxa"/>
            <w:tcBorders>
              <w:left w:val="nil"/>
              <w:bottom w:val="single" w:sz="4" w:space="0" w:color="auto"/>
              <w:right w:val="nil"/>
            </w:tcBorders>
            <w:noWrap/>
            <w:hideMark/>
          </w:tcPr>
          <w:p w14:paraId="2150B457" w14:textId="77777777" w:rsidR="004C7DB2" w:rsidRPr="0083325C" w:rsidRDefault="004C7DB2" w:rsidP="00396669">
            <w:pPr>
              <w:rPr>
                <w:rFonts w:eastAsia="Aptos" w:cs="Aptos"/>
                <w:b/>
                <w:bCs/>
                <w:sz w:val="24"/>
                <w:szCs w:val="24"/>
              </w:rPr>
            </w:pPr>
            <w:bookmarkStart w:id="0" w:name="_Hlk177463494"/>
          </w:p>
        </w:tc>
        <w:tc>
          <w:tcPr>
            <w:tcW w:w="993" w:type="dxa"/>
            <w:tcBorders>
              <w:left w:val="nil"/>
              <w:bottom w:val="single" w:sz="4" w:space="0" w:color="auto"/>
              <w:right w:val="nil"/>
            </w:tcBorders>
          </w:tcPr>
          <w:p w14:paraId="30233550" w14:textId="77777777" w:rsidR="004C7DB2" w:rsidRPr="0083325C" w:rsidRDefault="004C7DB2" w:rsidP="00396669">
            <w:pPr>
              <w:jc w:val="center"/>
              <w:rPr>
                <w:rFonts w:eastAsia="Aptos" w:cs="Aptos"/>
                <w:b/>
                <w:bCs/>
                <w:sz w:val="24"/>
                <w:szCs w:val="24"/>
              </w:rPr>
            </w:pPr>
            <w:r w:rsidRPr="0083325C">
              <w:rPr>
                <w:rFonts w:eastAsia="Aptos" w:cs="Aptos"/>
                <w:b/>
                <w:bCs/>
                <w:sz w:val="24"/>
                <w:szCs w:val="24"/>
              </w:rPr>
              <w:t>B</w:t>
            </w:r>
          </w:p>
        </w:tc>
        <w:tc>
          <w:tcPr>
            <w:tcW w:w="850" w:type="dxa"/>
            <w:tcBorders>
              <w:left w:val="nil"/>
              <w:bottom w:val="single" w:sz="4" w:space="0" w:color="auto"/>
              <w:right w:val="nil"/>
            </w:tcBorders>
          </w:tcPr>
          <w:p w14:paraId="51C11162" w14:textId="77777777" w:rsidR="004C7DB2" w:rsidRPr="0083325C" w:rsidRDefault="004C7DB2" w:rsidP="00396669">
            <w:pPr>
              <w:jc w:val="center"/>
              <w:rPr>
                <w:rFonts w:eastAsia="Aptos" w:cs="Aptos"/>
                <w:b/>
                <w:bCs/>
                <w:sz w:val="24"/>
                <w:szCs w:val="24"/>
              </w:rPr>
            </w:pPr>
            <w:r w:rsidRPr="0083325C">
              <w:rPr>
                <w:rFonts w:eastAsia="Aptos" w:cs="Aptos"/>
                <w:b/>
                <w:bCs/>
                <w:sz w:val="24"/>
                <w:szCs w:val="24"/>
              </w:rPr>
              <w:t>SE</w:t>
            </w:r>
          </w:p>
        </w:tc>
        <w:tc>
          <w:tcPr>
            <w:tcW w:w="851" w:type="dxa"/>
            <w:tcBorders>
              <w:left w:val="nil"/>
              <w:bottom w:val="single" w:sz="4" w:space="0" w:color="auto"/>
              <w:right w:val="nil"/>
            </w:tcBorders>
          </w:tcPr>
          <w:p w14:paraId="76C4B5D7" w14:textId="77777777" w:rsidR="004C7DB2" w:rsidRPr="0083325C" w:rsidRDefault="004C7DB2" w:rsidP="00396669">
            <w:pPr>
              <w:jc w:val="center"/>
              <w:rPr>
                <w:rFonts w:eastAsia="Aptos" w:cs="Aptos"/>
                <w:b/>
                <w:bCs/>
                <w:sz w:val="24"/>
                <w:szCs w:val="24"/>
              </w:rPr>
            </w:pPr>
            <w:r w:rsidRPr="0083325C">
              <w:rPr>
                <w:b/>
                <w:bCs/>
                <w:sz w:val="24"/>
                <w:szCs w:val="24"/>
              </w:rPr>
              <w:t>β</w:t>
            </w:r>
          </w:p>
        </w:tc>
        <w:tc>
          <w:tcPr>
            <w:tcW w:w="850" w:type="dxa"/>
            <w:tcBorders>
              <w:left w:val="nil"/>
              <w:bottom w:val="single" w:sz="4" w:space="0" w:color="auto"/>
              <w:right w:val="nil"/>
            </w:tcBorders>
          </w:tcPr>
          <w:p w14:paraId="7380DFC1" w14:textId="77777777" w:rsidR="004C7DB2" w:rsidRPr="0083325C" w:rsidRDefault="004C7DB2" w:rsidP="00396669">
            <w:pPr>
              <w:jc w:val="center"/>
              <w:rPr>
                <w:rFonts w:eastAsia="Aptos" w:cs="Aptos"/>
                <w:b/>
                <w:bCs/>
                <w:sz w:val="24"/>
                <w:szCs w:val="24"/>
              </w:rPr>
            </w:pPr>
            <w:r w:rsidRPr="0083325C">
              <w:rPr>
                <w:rFonts w:eastAsia="Aptos" w:cs="Aptos"/>
                <w:b/>
                <w:bCs/>
                <w:sz w:val="24"/>
                <w:szCs w:val="24"/>
              </w:rPr>
              <w:t>p</w:t>
            </w:r>
          </w:p>
        </w:tc>
      </w:tr>
      <w:tr w:rsidR="004C7DB2" w:rsidRPr="0083325C" w14:paraId="3514E69F" w14:textId="77777777" w:rsidTr="004C7DB2">
        <w:trPr>
          <w:trHeight w:val="300"/>
        </w:trPr>
        <w:tc>
          <w:tcPr>
            <w:tcW w:w="2943" w:type="dxa"/>
            <w:tcBorders>
              <w:left w:val="nil"/>
              <w:bottom w:val="nil"/>
              <w:right w:val="nil"/>
            </w:tcBorders>
            <w:noWrap/>
          </w:tcPr>
          <w:p w14:paraId="67535200" w14:textId="41A4F7DC" w:rsidR="004C7DB2" w:rsidRPr="0083325C" w:rsidRDefault="004C7DB2" w:rsidP="00396669">
            <w:pPr>
              <w:rPr>
                <w:rFonts w:eastAsia="Aptos" w:cs="Aptos"/>
                <w:sz w:val="24"/>
                <w:szCs w:val="24"/>
              </w:rPr>
            </w:pPr>
            <w:r w:rsidRPr="0083325C">
              <w:rPr>
                <w:rFonts w:eastAsia="Aptos" w:cs="Aptos"/>
                <w:sz w:val="24"/>
                <w:szCs w:val="24"/>
              </w:rPr>
              <w:t xml:space="preserve">Writing skills </w:t>
            </w:r>
          </w:p>
        </w:tc>
        <w:tc>
          <w:tcPr>
            <w:tcW w:w="993" w:type="dxa"/>
            <w:tcBorders>
              <w:left w:val="nil"/>
              <w:bottom w:val="nil"/>
              <w:right w:val="nil"/>
            </w:tcBorders>
            <w:vAlign w:val="center"/>
          </w:tcPr>
          <w:p w14:paraId="027DB0A8" w14:textId="7E8933FE" w:rsidR="004C7DB2" w:rsidRPr="0083325C" w:rsidRDefault="00BD306D" w:rsidP="00396669">
            <w:pPr>
              <w:jc w:val="center"/>
              <w:rPr>
                <w:rFonts w:eastAsia="Aptos" w:cs="Aptos"/>
                <w:sz w:val="24"/>
                <w:szCs w:val="24"/>
              </w:rPr>
            </w:pPr>
            <w:r w:rsidRPr="0083325C">
              <w:rPr>
                <w:rFonts w:eastAsia="Aptos" w:cs="Aptos"/>
                <w:sz w:val="24"/>
                <w:szCs w:val="24"/>
              </w:rPr>
              <w:t>0</w:t>
            </w:r>
            <w:r w:rsidR="004C7DB2" w:rsidRPr="0083325C">
              <w:rPr>
                <w:rFonts w:eastAsia="Aptos" w:cs="Aptos"/>
                <w:sz w:val="24"/>
                <w:szCs w:val="24"/>
              </w:rPr>
              <w:t>.</w:t>
            </w:r>
            <w:r w:rsidR="001F6684" w:rsidRPr="0083325C">
              <w:rPr>
                <w:rFonts w:eastAsia="Aptos" w:cs="Aptos"/>
                <w:sz w:val="24"/>
                <w:szCs w:val="24"/>
              </w:rPr>
              <w:t>4</w:t>
            </w:r>
            <w:r w:rsidR="00065B03" w:rsidRPr="0083325C">
              <w:rPr>
                <w:rFonts w:eastAsia="Aptos" w:cs="Aptos"/>
                <w:sz w:val="24"/>
                <w:szCs w:val="24"/>
              </w:rPr>
              <w:t>5</w:t>
            </w:r>
          </w:p>
        </w:tc>
        <w:tc>
          <w:tcPr>
            <w:tcW w:w="850" w:type="dxa"/>
            <w:tcBorders>
              <w:left w:val="nil"/>
              <w:bottom w:val="nil"/>
              <w:right w:val="nil"/>
            </w:tcBorders>
            <w:vAlign w:val="center"/>
          </w:tcPr>
          <w:p w14:paraId="2AEECAAA" w14:textId="2AE0BCC4" w:rsidR="004C7DB2" w:rsidRPr="0083325C" w:rsidRDefault="004C7DB2" w:rsidP="00396669">
            <w:pPr>
              <w:jc w:val="center"/>
              <w:rPr>
                <w:rFonts w:eastAsia="Aptos" w:cs="Aptos"/>
                <w:sz w:val="24"/>
                <w:szCs w:val="24"/>
              </w:rPr>
            </w:pPr>
            <w:r w:rsidRPr="0083325C">
              <w:rPr>
                <w:rFonts w:eastAsia="Aptos" w:cs="Aptos"/>
                <w:sz w:val="24"/>
                <w:szCs w:val="24"/>
              </w:rPr>
              <w:t>0.</w:t>
            </w:r>
            <w:r w:rsidR="004E6E16" w:rsidRPr="0083325C">
              <w:rPr>
                <w:rFonts w:eastAsia="Aptos" w:cs="Aptos"/>
                <w:sz w:val="24"/>
                <w:szCs w:val="24"/>
              </w:rPr>
              <w:t>10</w:t>
            </w:r>
          </w:p>
        </w:tc>
        <w:tc>
          <w:tcPr>
            <w:tcW w:w="851" w:type="dxa"/>
            <w:tcBorders>
              <w:left w:val="nil"/>
              <w:bottom w:val="nil"/>
              <w:right w:val="nil"/>
            </w:tcBorders>
            <w:vAlign w:val="center"/>
          </w:tcPr>
          <w:p w14:paraId="25E1A6FD" w14:textId="06A6B208" w:rsidR="004C7DB2" w:rsidRPr="0083325C" w:rsidRDefault="004C7DB2" w:rsidP="00396669">
            <w:pPr>
              <w:jc w:val="center"/>
              <w:rPr>
                <w:rFonts w:eastAsia="Aptos" w:cs="Aptos"/>
                <w:sz w:val="24"/>
                <w:szCs w:val="24"/>
              </w:rPr>
            </w:pPr>
            <w:r w:rsidRPr="0083325C">
              <w:rPr>
                <w:rFonts w:eastAsia="Aptos" w:cs="Aptos"/>
                <w:sz w:val="24"/>
                <w:szCs w:val="24"/>
              </w:rPr>
              <w:t>0.</w:t>
            </w:r>
            <w:r w:rsidR="005339FA" w:rsidRPr="0083325C">
              <w:rPr>
                <w:rFonts w:eastAsia="Aptos" w:cs="Aptos"/>
                <w:sz w:val="24"/>
                <w:szCs w:val="24"/>
              </w:rPr>
              <w:t>30</w:t>
            </w:r>
          </w:p>
        </w:tc>
        <w:tc>
          <w:tcPr>
            <w:tcW w:w="850" w:type="dxa"/>
            <w:tcBorders>
              <w:left w:val="nil"/>
              <w:bottom w:val="nil"/>
              <w:right w:val="nil"/>
            </w:tcBorders>
            <w:vAlign w:val="center"/>
          </w:tcPr>
          <w:p w14:paraId="5CD01079" w14:textId="77777777" w:rsidR="004C7DB2" w:rsidRPr="0083325C" w:rsidRDefault="004C7DB2" w:rsidP="00396669">
            <w:pPr>
              <w:jc w:val="center"/>
              <w:rPr>
                <w:rFonts w:eastAsia="Aptos" w:cs="Aptos"/>
                <w:sz w:val="24"/>
                <w:szCs w:val="24"/>
              </w:rPr>
            </w:pPr>
            <w:r w:rsidRPr="0083325C">
              <w:rPr>
                <w:rFonts w:eastAsia="Aptos" w:cs="Aptos"/>
                <w:sz w:val="24"/>
                <w:szCs w:val="24"/>
              </w:rPr>
              <w:t>.001</w:t>
            </w:r>
          </w:p>
        </w:tc>
      </w:tr>
      <w:tr w:rsidR="004C7DB2" w:rsidRPr="0083325C" w14:paraId="53BDB6AA" w14:textId="77777777" w:rsidTr="004C7DB2">
        <w:trPr>
          <w:trHeight w:val="300"/>
        </w:trPr>
        <w:tc>
          <w:tcPr>
            <w:tcW w:w="2943" w:type="dxa"/>
            <w:tcBorders>
              <w:top w:val="nil"/>
              <w:left w:val="nil"/>
              <w:bottom w:val="nil"/>
              <w:right w:val="nil"/>
            </w:tcBorders>
            <w:noWrap/>
          </w:tcPr>
          <w:p w14:paraId="7DE0347B" w14:textId="4FDCC2C5" w:rsidR="004C7DB2" w:rsidRPr="0083325C" w:rsidRDefault="004C7DB2" w:rsidP="00396669">
            <w:pPr>
              <w:rPr>
                <w:rFonts w:eastAsia="Aptos" w:cs="Aptos"/>
                <w:sz w:val="24"/>
                <w:szCs w:val="24"/>
              </w:rPr>
            </w:pPr>
            <w:r w:rsidRPr="0083325C">
              <w:rPr>
                <w:rFonts w:eastAsia="Aptos" w:cs="Aptos"/>
                <w:sz w:val="24"/>
                <w:szCs w:val="24"/>
              </w:rPr>
              <w:t>Referencing skills</w:t>
            </w:r>
          </w:p>
        </w:tc>
        <w:tc>
          <w:tcPr>
            <w:tcW w:w="993" w:type="dxa"/>
            <w:tcBorders>
              <w:top w:val="nil"/>
              <w:left w:val="nil"/>
              <w:bottom w:val="nil"/>
              <w:right w:val="nil"/>
            </w:tcBorders>
            <w:vAlign w:val="center"/>
          </w:tcPr>
          <w:p w14:paraId="1D4A40E8" w14:textId="000951BB" w:rsidR="004C7DB2" w:rsidRPr="0083325C" w:rsidRDefault="004C7DB2" w:rsidP="00396669">
            <w:pPr>
              <w:jc w:val="center"/>
              <w:rPr>
                <w:rFonts w:eastAsia="Aptos" w:cs="Aptos"/>
                <w:sz w:val="24"/>
                <w:szCs w:val="24"/>
              </w:rPr>
            </w:pPr>
            <w:r w:rsidRPr="0083325C">
              <w:rPr>
                <w:rFonts w:eastAsia="Aptos" w:cs="Aptos"/>
                <w:sz w:val="24"/>
                <w:szCs w:val="24"/>
              </w:rPr>
              <w:t>0.</w:t>
            </w:r>
            <w:r w:rsidR="00065B03" w:rsidRPr="0083325C">
              <w:rPr>
                <w:rFonts w:eastAsia="Aptos" w:cs="Aptos"/>
                <w:sz w:val="24"/>
                <w:szCs w:val="24"/>
              </w:rPr>
              <w:t>25</w:t>
            </w:r>
          </w:p>
        </w:tc>
        <w:tc>
          <w:tcPr>
            <w:tcW w:w="850" w:type="dxa"/>
            <w:tcBorders>
              <w:top w:val="nil"/>
              <w:left w:val="nil"/>
              <w:bottom w:val="nil"/>
              <w:right w:val="nil"/>
            </w:tcBorders>
            <w:vAlign w:val="center"/>
          </w:tcPr>
          <w:p w14:paraId="44A8BF40" w14:textId="09A66C30" w:rsidR="004C7DB2" w:rsidRPr="0083325C" w:rsidRDefault="004C7DB2" w:rsidP="00396669">
            <w:pPr>
              <w:jc w:val="center"/>
              <w:rPr>
                <w:rFonts w:eastAsia="Aptos" w:cs="Aptos"/>
                <w:sz w:val="24"/>
                <w:szCs w:val="24"/>
              </w:rPr>
            </w:pPr>
            <w:r w:rsidRPr="0083325C">
              <w:rPr>
                <w:rFonts w:eastAsia="Aptos" w:cs="Aptos"/>
                <w:sz w:val="24"/>
                <w:szCs w:val="24"/>
              </w:rPr>
              <w:t>0.</w:t>
            </w:r>
            <w:r w:rsidR="004E6E16" w:rsidRPr="0083325C">
              <w:rPr>
                <w:rFonts w:eastAsia="Aptos" w:cs="Aptos"/>
                <w:sz w:val="24"/>
                <w:szCs w:val="24"/>
              </w:rPr>
              <w:t>08</w:t>
            </w:r>
          </w:p>
        </w:tc>
        <w:tc>
          <w:tcPr>
            <w:tcW w:w="851" w:type="dxa"/>
            <w:tcBorders>
              <w:top w:val="nil"/>
              <w:left w:val="nil"/>
              <w:bottom w:val="nil"/>
              <w:right w:val="nil"/>
            </w:tcBorders>
            <w:vAlign w:val="center"/>
          </w:tcPr>
          <w:p w14:paraId="18BDD238" w14:textId="262EC121" w:rsidR="004C7DB2" w:rsidRPr="0083325C" w:rsidRDefault="004C7DB2" w:rsidP="00396669">
            <w:pPr>
              <w:jc w:val="center"/>
              <w:rPr>
                <w:rFonts w:eastAsia="Aptos" w:cs="Aptos"/>
                <w:sz w:val="24"/>
                <w:szCs w:val="24"/>
              </w:rPr>
            </w:pPr>
            <w:r w:rsidRPr="0083325C">
              <w:rPr>
                <w:rFonts w:eastAsia="Aptos" w:cs="Aptos"/>
                <w:sz w:val="24"/>
                <w:szCs w:val="24"/>
              </w:rPr>
              <w:t>0.</w:t>
            </w:r>
            <w:r w:rsidR="005339FA" w:rsidRPr="0083325C">
              <w:rPr>
                <w:rFonts w:eastAsia="Aptos" w:cs="Aptos"/>
                <w:sz w:val="24"/>
                <w:szCs w:val="24"/>
              </w:rPr>
              <w:t>20</w:t>
            </w:r>
          </w:p>
        </w:tc>
        <w:tc>
          <w:tcPr>
            <w:tcW w:w="850" w:type="dxa"/>
            <w:tcBorders>
              <w:top w:val="nil"/>
              <w:left w:val="nil"/>
              <w:bottom w:val="nil"/>
              <w:right w:val="nil"/>
            </w:tcBorders>
            <w:vAlign w:val="center"/>
          </w:tcPr>
          <w:p w14:paraId="45366B43" w14:textId="4B13326A" w:rsidR="004C7DB2" w:rsidRPr="0083325C" w:rsidRDefault="004C7DB2" w:rsidP="00396669">
            <w:pPr>
              <w:jc w:val="center"/>
              <w:rPr>
                <w:rFonts w:eastAsia="Aptos" w:cs="Aptos"/>
                <w:sz w:val="24"/>
                <w:szCs w:val="24"/>
              </w:rPr>
            </w:pPr>
            <w:r w:rsidRPr="0083325C">
              <w:rPr>
                <w:rFonts w:eastAsia="Aptos" w:cs="Aptos"/>
                <w:sz w:val="24"/>
                <w:szCs w:val="24"/>
              </w:rPr>
              <w:t>.0</w:t>
            </w:r>
            <w:r w:rsidR="00677F22" w:rsidRPr="0083325C">
              <w:rPr>
                <w:rFonts w:eastAsia="Aptos" w:cs="Aptos"/>
                <w:sz w:val="24"/>
                <w:szCs w:val="24"/>
              </w:rPr>
              <w:t>15</w:t>
            </w:r>
          </w:p>
        </w:tc>
      </w:tr>
      <w:tr w:rsidR="004C7DB2" w:rsidRPr="0083325C" w14:paraId="4C4D1DF1" w14:textId="77777777" w:rsidTr="004C7DB2">
        <w:trPr>
          <w:trHeight w:val="300"/>
        </w:trPr>
        <w:tc>
          <w:tcPr>
            <w:tcW w:w="2943" w:type="dxa"/>
            <w:tcBorders>
              <w:top w:val="nil"/>
              <w:left w:val="nil"/>
              <w:bottom w:val="nil"/>
              <w:right w:val="nil"/>
            </w:tcBorders>
            <w:noWrap/>
          </w:tcPr>
          <w:p w14:paraId="301582FB" w14:textId="7A895ED0" w:rsidR="004C7DB2" w:rsidRPr="0083325C" w:rsidRDefault="004C7DB2" w:rsidP="00396669">
            <w:pPr>
              <w:rPr>
                <w:rFonts w:eastAsia="Aptos" w:cs="Aptos"/>
                <w:sz w:val="24"/>
                <w:szCs w:val="24"/>
              </w:rPr>
            </w:pPr>
            <w:r w:rsidRPr="0083325C">
              <w:rPr>
                <w:rFonts w:eastAsia="Aptos" w:cs="Aptos"/>
                <w:sz w:val="24"/>
                <w:szCs w:val="24"/>
              </w:rPr>
              <w:t xml:space="preserve">Critical thinking skills </w:t>
            </w:r>
          </w:p>
        </w:tc>
        <w:tc>
          <w:tcPr>
            <w:tcW w:w="993" w:type="dxa"/>
            <w:tcBorders>
              <w:top w:val="nil"/>
              <w:left w:val="nil"/>
              <w:bottom w:val="nil"/>
              <w:right w:val="nil"/>
            </w:tcBorders>
            <w:vAlign w:val="center"/>
          </w:tcPr>
          <w:p w14:paraId="444EAE40" w14:textId="13913F37" w:rsidR="004C7DB2" w:rsidRPr="0083325C" w:rsidRDefault="004E6E16" w:rsidP="00396669">
            <w:pPr>
              <w:jc w:val="center"/>
              <w:rPr>
                <w:rFonts w:eastAsia="Aptos" w:cs="Aptos"/>
                <w:sz w:val="24"/>
                <w:szCs w:val="24"/>
              </w:rPr>
            </w:pPr>
            <w:r w:rsidRPr="0083325C">
              <w:rPr>
                <w:rFonts w:eastAsia="Aptos" w:cs="Aptos"/>
                <w:sz w:val="24"/>
                <w:szCs w:val="24"/>
              </w:rPr>
              <w:t>1.10</w:t>
            </w:r>
          </w:p>
        </w:tc>
        <w:tc>
          <w:tcPr>
            <w:tcW w:w="850" w:type="dxa"/>
            <w:tcBorders>
              <w:top w:val="nil"/>
              <w:left w:val="nil"/>
              <w:bottom w:val="nil"/>
              <w:right w:val="nil"/>
            </w:tcBorders>
            <w:vAlign w:val="center"/>
          </w:tcPr>
          <w:p w14:paraId="197FA9A4" w14:textId="50EB5A8F" w:rsidR="004C7DB2" w:rsidRPr="0083325C" w:rsidRDefault="004C7DB2" w:rsidP="00396669">
            <w:pPr>
              <w:jc w:val="center"/>
              <w:rPr>
                <w:rFonts w:eastAsia="Aptos" w:cs="Aptos"/>
                <w:sz w:val="24"/>
                <w:szCs w:val="24"/>
              </w:rPr>
            </w:pPr>
            <w:r w:rsidRPr="0083325C">
              <w:rPr>
                <w:rFonts w:eastAsia="Aptos" w:cs="Aptos"/>
                <w:sz w:val="24"/>
                <w:szCs w:val="24"/>
              </w:rPr>
              <w:t>0.</w:t>
            </w:r>
            <w:r w:rsidR="00646D1C" w:rsidRPr="0083325C">
              <w:rPr>
                <w:rFonts w:eastAsia="Aptos" w:cs="Aptos"/>
                <w:sz w:val="24"/>
                <w:szCs w:val="24"/>
              </w:rPr>
              <w:t>20</w:t>
            </w:r>
          </w:p>
        </w:tc>
        <w:tc>
          <w:tcPr>
            <w:tcW w:w="851" w:type="dxa"/>
            <w:tcBorders>
              <w:top w:val="nil"/>
              <w:left w:val="nil"/>
              <w:bottom w:val="nil"/>
              <w:right w:val="nil"/>
            </w:tcBorders>
            <w:vAlign w:val="center"/>
          </w:tcPr>
          <w:p w14:paraId="519BAAA1" w14:textId="699FB235" w:rsidR="004C7DB2" w:rsidRPr="0083325C" w:rsidRDefault="004C7DB2" w:rsidP="00396669">
            <w:pPr>
              <w:jc w:val="center"/>
              <w:rPr>
                <w:rFonts w:eastAsia="Aptos" w:cs="Aptos"/>
                <w:sz w:val="24"/>
                <w:szCs w:val="24"/>
              </w:rPr>
            </w:pPr>
            <w:r w:rsidRPr="0083325C">
              <w:rPr>
                <w:rFonts w:eastAsia="Aptos" w:cs="Aptos"/>
                <w:sz w:val="24"/>
                <w:szCs w:val="24"/>
              </w:rPr>
              <w:t>0.</w:t>
            </w:r>
            <w:r w:rsidR="005339FA" w:rsidRPr="0083325C">
              <w:rPr>
                <w:rFonts w:eastAsia="Aptos" w:cs="Aptos"/>
                <w:sz w:val="24"/>
                <w:szCs w:val="24"/>
              </w:rPr>
              <w:t>50</w:t>
            </w:r>
          </w:p>
        </w:tc>
        <w:tc>
          <w:tcPr>
            <w:tcW w:w="850" w:type="dxa"/>
            <w:tcBorders>
              <w:top w:val="nil"/>
              <w:left w:val="nil"/>
              <w:bottom w:val="nil"/>
              <w:right w:val="nil"/>
            </w:tcBorders>
            <w:vAlign w:val="center"/>
          </w:tcPr>
          <w:p w14:paraId="5BEDC937" w14:textId="3A81D69D" w:rsidR="004C7DB2" w:rsidRPr="0083325C" w:rsidRDefault="00677F22" w:rsidP="00396669">
            <w:pPr>
              <w:jc w:val="center"/>
              <w:rPr>
                <w:rFonts w:eastAsia="Aptos" w:cs="Aptos"/>
                <w:sz w:val="24"/>
                <w:szCs w:val="24"/>
              </w:rPr>
            </w:pPr>
            <w:r w:rsidRPr="0083325C">
              <w:rPr>
                <w:rFonts w:eastAsia="Aptos" w:cs="Aptos"/>
                <w:sz w:val="24"/>
                <w:szCs w:val="24"/>
              </w:rPr>
              <w:t>&lt;</w:t>
            </w:r>
            <w:r w:rsidR="004C7DB2" w:rsidRPr="0083325C">
              <w:rPr>
                <w:rFonts w:eastAsia="Aptos" w:cs="Aptos"/>
                <w:sz w:val="24"/>
                <w:szCs w:val="24"/>
              </w:rPr>
              <w:t>.001</w:t>
            </w:r>
          </w:p>
        </w:tc>
      </w:tr>
      <w:tr w:rsidR="004C7DB2" w:rsidRPr="0083325C" w14:paraId="4E16BB12" w14:textId="77777777" w:rsidTr="004C7DB2">
        <w:trPr>
          <w:trHeight w:val="300"/>
        </w:trPr>
        <w:tc>
          <w:tcPr>
            <w:tcW w:w="2943" w:type="dxa"/>
            <w:tcBorders>
              <w:top w:val="nil"/>
              <w:left w:val="nil"/>
              <w:right w:val="nil"/>
            </w:tcBorders>
            <w:noWrap/>
          </w:tcPr>
          <w:p w14:paraId="45829405" w14:textId="75BE3B3D" w:rsidR="004C7DB2" w:rsidRPr="0083325C" w:rsidRDefault="001114FE" w:rsidP="00396669">
            <w:pPr>
              <w:rPr>
                <w:rFonts w:eastAsia="Aptos" w:cs="Aptos"/>
                <w:sz w:val="24"/>
                <w:szCs w:val="24"/>
              </w:rPr>
            </w:pPr>
            <w:r w:rsidRPr="0083325C">
              <w:rPr>
                <w:rFonts w:eastAsia="Aptos" w:cs="Aptos"/>
                <w:sz w:val="24"/>
                <w:szCs w:val="24"/>
              </w:rPr>
              <w:t>Mathematic</w:t>
            </w:r>
            <w:r w:rsidR="004C7DB2" w:rsidRPr="0083325C">
              <w:rPr>
                <w:rFonts w:eastAsia="Aptos" w:cs="Aptos"/>
                <w:sz w:val="24"/>
                <w:szCs w:val="24"/>
              </w:rPr>
              <w:t xml:space="preserve"> skills </w:t>
            </w:r>
          </w:p>
        </w:tc>
        <w:tc>
          <w:tcPr>
            <w:tcW w:w="993" w:type="dxa"/>
            <w:tcBorders>
              <w:top w:val="nil"/>
              <w:left w:val="nil"/>
              <w:right w:val="nil"/>
            </w:tcBorders>
            <w:vAlign w:val="center"/>
          </w:tcPr>
          <w:p w14:paraId="3D756C1E" w14:textId="095FBC84" w:rsidR="004C7DB2" w:rsidRPr="0083325C" w:rsidRDefault="004E6E16" w:rsidP="00396669">
            <w:pPr>
              <w:jc w:val="center"/>
              <w:rPr>
                <w:rFonts w:eastAsia="Aptos" w:cs="Aptos"/>
                <w:sz w:val="24"/>
                <w:szCs w:val="24"/>
              </w:rPr>
            </w:pPr>
            <w:r w:rsidRPr="0083325C">
              <w:rPr>
                <w:rFonts w:eastAsia="Aptos" w:cs="Aptos"/>
                <w:sz w:val="24"/>
                <w:szCs w:val="24"/>
              </w:rPr>
              <w:t>-</w:t>
            </w:r>
            <w:r w:rsidR="004C7DB2" w:rsidRPr="0083325C">
              <w:rPr>
                <w:rFonts w:eastAsia="Aptos" w:cs="Aptos"/>
                <w:sz w:val="24"/>
                <w:szCs w:val="24"/>
              </w:rPr>
              <w:t>0.</w:t>
            </w:r>
            <w:r w:rsidRPr="0083325C">
              <w:rPr>
                <w:rFonts w:eastAsia="Aptos" w:cs="Aptos"/>
                <w:sz w:val="24"/>
                <w:szCs w:val="24"/>
              </w:rPr>
              <w:t>0</w:t>
            </w:r>
            <w:r w:rsidR="004C7DB2" w:rsidRPr="0083325C">
              <w:rPr>
                <w:rFonts w:eastAsia="Aptos" w:cs="Aptos"/>
                <w:sz w:val="24"/>
                <w:szCs w:val="24"/>
              </w:rPr>
              <w:t>5</w:t>
            </w:r>
          </w:p>
        </w:tc>
        <w:tc>
          <w:tcPr>
            <w:tcW w:w="850" w:type="dxa"/>
            <w:tcBorders>
              <w:top w:val="nil"/>
              <w:left w:val="nil"/>
              <w:right w:val="nil"/>
            </w:tcBorders>
            <w:vAlign w:val="center"/>
          </w:tcPr>
          <w:p w14:paraId="5CC18EBE" w14:textId="16E0501A" w:rsidR="004C7DB2" w:rsidRPr="0083325C" w:rsidRDefault="004C7DB2" w:rsidP="00396669">
            <w:pPr>
              <w:jc w:val="center"/>
              <w:rPr>
                <w:rFonts w:eastAsia="Aptos" w:cs="Aptos"/>
                <w:sz w:val="24"/>
                <w:szCs w:val="24"/>
              </w:rPr>
            </w:pPr>
            <w:r w:rsidRPr="0083325C">
              <w:rPr>
                <w:rFonts w:eastAsia="Aptos" w:cs="Aptos"/>
                <w:sz w:val="24"/>
                <w:szCs w:val="24"/>
              </w:rPr>
              <w:t>0.0</w:t>
            </w:r>
            <w:r w:rsidR="004E6E16" w:rsidRPr="0083325C">
              <w:rPr>
                <w:rFonts w:eastAsia="Aptos" w:cs="Aptos"/>
                <w:sz w:val="24"/>
                <w:szCs w:val="24"/>
              </w:rPr>
              <w:t>5</w:t>
            </w:r>
          </w:p>
        </w:tc>
        <w:tc>
          <w:tcPr>
            <w:tcW w:w="851" w:type="dxa"/>
            <w:tcBorders>
              <w:top w:val="nil"/>
              <w:left w:val="nil"/>
              <w:right w:val="nil"/>
            </w:tcBorders>
            <w:vAlign w:val="center"/>
          </w:tcPr>
          <w:p w14:paraId="088DF2AF" w14:textId="538A1720" w:rsidR="004C7DB2" w:rsidRPr="0083325C" w:rsidRDefault="005339FA" w:rsidP="00396669">
            <w:pPr>
              <w:jc w:val="center"/>
              <w:rPr>
                <w:rFonts w:eastAsia="Aptos" w:cs="Aptos"/>
                <w:sz w:val="24"/>
                <w:szCs w:val="24"/>
              </w:rPr>
            </w:pPr>
            <w:r w:rsidRPr="0083325C">
              <w:rPr>
                <w:rFonts w:eastAsia="Aptos" w:cs="Aptos"/>
                <w:sz w:val="24"/>
                <w:szCs w:val="24"/>
              </w:rPr>
              <w:t>-</w:t>
            </w:r>
            <w:r w:rsidR="004C7DB2" w:rsidRPr="0083325C">
              <w:rPr>
                <w:rFonts w:eastAsia="Aptos" w:cs="Aptos"/>
                <w:sz w:val="24"/>
                <w:szCs w:val="24"/>
              </w:rPr>
              <w:t>0.</w:t>
            </w:r>
            <w:r w:rsidRPr="0083325C">
              <w:rPr>
                <w:rFonts w:eastAsia="Aptos" w:cs="Aptos"/>
                <w:sz w:val="24"/>
                <w:szCs w:val="24"/>
              </w:rPr>
              <w:t>05</w:t>
            </w:r>
          </w:p>
        </w:tc>
        <w:tc>
          <w:tcPr>
            <w:tcW w:w="850" w:type="dxa"/>
            <w:tcBorders>
              <w:top w:val="nil"/>
              <w:left w:val="nil"/>
              <w:right w:val="nil"/>
            </w:tcBorders>
            <w:vAlign w:val="center"/>
          </w:tcPr>
          <w:p w14:paraId="48A3C704" w14:textId="07BE80DF" w:rsidR="004C7DB2" w:rsidRPr="0083325C" w:rsidRDefault="004C7DB2" w:rsidP="00396669">
            <w:pPr>
              <w:jc w:val="center"/>
              <w:rPr>
                <w:rFonts w:eastAsia="Aptos" w:cs="Aptos"/>
                <w:sz w:val="24"/>
                <w:szCs w:val="24"/>
              </w:rPr>
            </w:pPr>
            <w:r w:rsidRPr="0083325C">
              <w:rPr>
                <w:rFonts w:eastAsia="Aptos" w:cs="Aptos"/>
                <w:sz w:val="24"/>
                <w:szCs w:val="24"/>
              </w:rPr>
              <w:t>.</w:t>
            </w:r>
            <w:r w:rsidR="00677F22" w:rsidRPr="0083325C">
              <w:rPr>
                <w:rFonts w:eastAsia="Aptos" w:cs="Aptos"/>
                <w:sz w:val="24"/>
                <w:szCs w:val="24"/>
              </w:rPr>
              <w:t>300</w:t>
            </w:r>
          </w:p>
        </w:tc>
      </w:tr>
      <w:bookmarkEnd w:id="0"/>
    </w:tbl>
    <w:p w14:paraId="1C8BF829" w14:textId="77777777" w:rsidR="008E7044" w:rsidRPr="0083325C" w:rsidRDefault="008E7044"/>
    <w:p w14:paraId="5E4BCC46" w14:textId="38FFA4F4" w:rsidR="000C0D6D" w:rsidRPr="0083325C" w:rsidRDefault="000E4D1A" w:rsidP="00375BEA">
      <w:pPr>
        <w:pStyle w:val="ListParagraph"/>
        <w:numPr>
          <w:ilvl w:val="0"/>
          <w:numId w:val="1"/>
        </w:numPr>
      </w:pPr>
      <w:r w:rsidRPr="0083325C">
        <w:t>Focus on the variable “</w:t>
      </w:r>
      <w:r w:rsidR="00FF5893" w:rsidRPr="0083325C">
        <w:t>Writing skills</w:t>
      </w:r>
      <w:r w:rsidRPr="0083325C">
        <w:t>”</w:t>
      </w:r>
    </w:p>
    <w:p w14:paraId="2DE7E72C" w14:textId="3B42F9F0" w:rsidR="000C0D6D" w:rsidRPr="0083325C" w:rsidRDefault="00FF5893" w:rsidP="000C0D6D">
      <w:pPr>
        <w:pStyle w:val="ListParagraph"/>
        <w:numPr>
          <w:ilvl w:val="1"/>
          <w:numId w:val="1"/>
        </w:numPr>
      </w:pPr>
      <w:r w:rsidRPr="0083325C">
        <w:t xml:space="preserve">How do you interpret the B coefficient? </w:t>
      </w:r>
      <w:r w:rsidR="00D06A6A" w:rsidRPr="0083325C">
        <w:t xml:space="preserve"> </w:t>
      </w:r>
      <w:r w:rsidR="001368BE" w:rsidRPr="0083325C">
        <w:t xml:space="preserve"> </w:t>
      </w:r>
    </w:p>
    <w:p w14:paraId="354D3C79" w14:textId="5E9BB834" w:rsidR="000C0D6D" w:rsidRPr="0083325C" w:rsidRDefault="001505E2" w:rsidP="000C0D6D">
      <w:pPr>
        <w:pStyle w:val="ListParagraph"/>
        <w:numPr>
          <w:ilvl w:val="1"/>
          <w:numId w:val="1"/>
        </w:numPr>
      </w:pPr>
      <w:r w:rsidRPr="0083325C">
        <w:t xml:space="preserve">What is the Standard Error (SE) </w:t>
      </w:r>
      <w:r w:rsidR="0077443D" w:rsidRPr="0083325C">
        <w:t>reporting</w:t>
      </w:r>
      <w:r w:rsidR="001368BE" w:rsidRPr="0083325C">
        <w:t xml:space="preserve">? </w:t>
      </w:r>
    </w:p>
    <w:p w14:paraId="7510674B" w14:textId="23951DF5" w:rsidR="00375BEA" w:rsidRPr="0083325C" w:rsidRDefault="0077443D" w:rsidP="000C0D6D">
      <w:pPr>
        <w:pStyle w:val="ListParagraph"/>
        <w:numPr>
          <w:ilvl w:val="1"/>
          <w:numId w:val="1"/>
        </w:numPr>
      </w:pPr>
      <w:r w:rsidRPr="0083325C">
        <w:t>How about the standardised β coefficient</w:t>
      </w:r>
      <w:r w:rsidR="000C0D6D" w:rsidRPr="0083325C">
        <w:t>?</w:t>
      </w:r>
    </w:p>
    <w:p w14:paraId="006D2C42" w14:textId="2972261F" w:rsidR="0077443D" w:rsidRPr="0083325C" w:rsidRDefault="0077443D" w:rsidP="000C0D6D">
      <w:pPr>
        <w:pStyle w:val="ListParagraph"/>
        <w:numPr>
          <w:ilvl w:val="1"/>
          <w:numId w:val="1"/>
        </w:numPr>
      </w:pPr>
      <w:r w:rsidRPr="0083325C">
        <w:t>Is the association statistically significant?</w:t>
      </w:r>
    </w:p>
    <w:p w14:paraId="5F94E313" w14:textId="190AE374" w:rsidR="00283C28" w:rsidRPr="0083325C" w:rsidRDefault="000E4D1A" w:rsidP="00283C28">
      <w:pPr>
        <w:pStyle w:val="ListParagraph"/>
        <w:numPr>
          <w:ilvl w:val="0"/>
          <w:numId w:val="1"/>
        </w:numPr>
      </w:pPr>
      <w:r w:rsidRPr="0083325C">
        <w:t xml:space="preserve">“Focus on the variable” </w:t>
      </w:r>
      <w:r w:rsidR="0077443D" w:rsidRPr="0083325C">
        <w:t>Referencing skills</w:t>
      </w:r>
    </w:p>
    <w:p w14:paraId="16D38ED1" w14:textId="77777777" w:rsidR="0077443D" w:rsidRPr="0083325C" w:rsidRDefault="0077443D" w:rsidP="0077443D">
      <w:pPr>
        <w:pStyle w:val="ListParagraph"/>
        <w:numPr>
          <w:ilvl w:val="1"/>
          <w:numId w:val="1"/>
        </w:numPr>
      </w:pPr>
      <w:r w:rsidRPr="0083325C">
        <w:t xml:space="preserve">How do you interpret the B coefficient?   </w:t>
      </w:r>
    </w:p>
    <w:p w14:paraId="4D1AB720" w14:textId="77777777" w:rsidR="0077443D" w:rsidRPr="0083325C" w:rsidRDefault="0077443D" w:rsidP="0077443D">
      <w:pPr>
        <w:pStyle w:val="ListParagraph"/>
        <w:numPr>
          <w:ilvl w:val="1"/>
          <w:numId w:val="1"/>
        </w:numPr>
      </w:pPr>
      <w:r w:rsidRPr="0083325C">
        <w:t xml:space="preserve">What is the Standard Error (SE) reporting? </w:t>
      </w:r>
    </w:p>
    <w:p w14:paraId="14F0203E" w14:textId="77777777" w:rsidR="0077443D" w:rsidRPr="0083325C" w:rsidRDefault="0077443D" w:rsidP="0077443D">
      <w:pPr>
        <w:pStyle w:val="ListParagraph"/>
        <w:numPr>
          <w:ilvl w:val="1"/>
          <w:numId w:val="1"/>
        </w:numPr>
      </w:pPr>
      <w:r w:rsidRPr="0083325C">
        <w:t>How about the standardised β coefficient?</w:t>
      </w:r>
    </w:p>
    <w:p w14:paraId="5B11A74A" w14:textId="77777777" w:rsidR="0077443D" w:rsidRPr="0083325C" w:rsidRDefault="0077443D" w:rsidP="0077443D">
      <w:pPr>
        <w:pStyle w:val="ListParagraph"/>
        <w:numPr>
          <w:ilvl w:val="1"/>
          <w:numId w:val="1"/>
        </w:numPr>
      </w:pPr>
      <w:r w:rsidRPr="0083325C">
        <w:t>Is the association statistically significant?</w:t>
      </w:r>
    </w:p>
    <w:p w14:paraId="2EB651BE" w14:textId="3AD8354C" w:rsidR="00F47E68" w:rsidRPr="0083325C" w:rsidRDefault="000E4D1A" w:rsidP="00F47E68">
      <w:pPr>
        <w:pStyle w:val="ListParagraph"/>
        <w:numPr>
          <w:ilvl w:val="0"/>
          <w:numId w:val="1"/>
        </w:numPr>
      </w:pPr>
      <w:r w:rsidRPr="0083325C">
        <w:t xml:space="preserve">“Focus on the variable” </w:t>
      </w:r>
      <w:r w:rsidR="0077443D" w:rsidRPr="0083325C">
        <w:t>Critical thinking skills</w:t>
      </w:r>
    </w:p>
    <w:p w14:paraId="027AC18A" w14:textId="77777777" w:rsidR="0077443D" w:rsidRPr="0083325C" w:rsidRDefault="0077443D" w:rsidP="0077443D">
      <w:pPr>
        <w:pStyle w:val="ListParagraph"/>
        <w:numPr>
          <w:ilvl w:val="1"/>
          <w:numId w:val="1"/>
        </w:numPr>
      </w:pPr>
      <w:r w:rsidRPr="0083325C">
        <w:t xml:space="preserve">How do you interpret the B coefficient?   </w:t>
      </w:r>
    </w:p>
    <w:p w14:paraId="3A5F7970" w14:textId="77777777" w:rsidR="0077443D" w:rsidRPr="0083325C" w:rsidRDefault="0077443D" w:rsidP="0077443D">
      <w:pPr>
        <w:pStyle w:val="ListParagraph"/>
        <w:numPr>
          <w:ilvl w:val="1"/>
          <w:numId w:val="1"/>
        </w:numPr>
      </w:pPr>
      <w:r w:rsidRPr="0083325C">
        <w:t xml:space="preserve">What is the Standard Error (SE) reporting? </w:t>
      </w:r>
    </w:p>
    <w:p w14:paraId="7BC2A144" w14:textId="77777777" w:rsidR="0077443D" w:rsidRPr="0083325C" w:rsidRDefault="0077443D" w:rsidP="0077443D">
      <w:pPr>
        <w:pStyle w:val="ListParagraph"/>
        <w:numPr>
          <w:ilvl w:val="1"/>
          <w:numId w:val="1"/>
        </w:numPr>
      </w:pPr>
      <w:r w:rsidRPr="0083325C">
        <w:t>How about the standardised β coefficient?</w:t>
      </w:r>
    </w:p>
    <w:p w14:paraId="74B1ADE7" w14:textId="77777777" w:rsidR="0077443D" w:rsidRPr="0083325C" w:rsidRDefault="0077443D" w:rsidP="0077443D">
      <w:pPr>
        <w:pStyle w:val="ListParagraph"/>
        <w:numPr>
          <w:ilvl w:val="1"/>
          <w:numId w:val="1"/>
        </w:numPr>
      </w:pPr>
      <w:r w:rsidRPr="0083325C">
        <w:t>Is the association statistically significant?</w:t>
      </w:r>
    </w:p>
    <w:p w14:paraId="2E8F7F10" w14:textId="18686939" w:rsidR="00AE55FB" w:rsidRPr="0083325C" w:rsidRDefault="000E4D1A" w:rsidP="00DA48FB">
      <w:pPr>
        <w:pStyle w:val="ListParagraph"/>
        <w:numPr>
          <w:ilvl w:val="0"/>
          <w:numId w:val="1"/>
        </w:numPr>
      </w:pPr>
      <w:r w:rsidRPr="0083325C">
        <w:t xml:space="preserve">“Focus on the variable” </w:t>
      </w:r>
      <w:r w:rsidR="0077443D" w:rsidRPr="0083325C">
        <w:t>Mathematic skills</w:t>
      </w:r>
    </w:p>
    <w:p w14:paraId="5E203E2B" w14:textId="77777777" w:rsidR="0077443D" w:rsidRPr="0083325C" w:rsidRDefault="0077443D" w:rsidP="0077443D">
      <w:pPr>
        <w:pStyle w:val="ListParagraph"/>
        <w:numPr>
          <w:ilvl w:val="1"/>
          <w:numId w:val="1"/>
        </w:numPr>
      </w:pPr>
      <w:r w:rsidRPr="0083325C">
        <w:t xml:space="preserve">How do you interpret the B coefficient?   </w:t>
      </w:r>
    </w:p>
    <w:p w14:paraId="15FDD163" w14:textId="77777777" w:rsidR="0077443D" w:rsidRPr="0083325C" w:rsidRDefault="0077443D" w:rsidP="0077443D">
      <w:pPr>
        <w:pStyle w:val="ListParagraph"/>
        <w:numPr>
          <w:ilvl w:val="1"/>
          <w:numId w:val="1"/>
        </w:numPr>
      </w:pPr>
      <w:r w:rsidRPr="0083325C">
        <w:t xml:space="preserve">What is the Standard Error (SE) reporting? </w:t>
      </w:r>
    </w:p>
    <w:p w14:paraId="45568DAB" w14:textId="77777777" w:rsidR="0077443D" w:rsidRPr="0083325C" w:rsidRDefault="0077443D" w:rsidP="0077443D">
      <w:pPr>
        <w:pStyle w:val="ListParagraph"/>
        <w:numPr>
          <w:ilvl w:val="1"/>
          <w:numId w:val="1"/>
        </w:numPr>
      </w:pPr>
      <w:r w:rsidRPr="0083325C">
        <w:t>How about the standardised β coefficient?</w:t>
      </w:r>
    </w:p>
    <w:p w14:paraId="2485B6A2" w14:textId="77777777" w:rsidR="0077443D" w:rsidRPr="0083325C" w:rsidRDefault="0077443D" w:rsidP="0077443D">
      <w:pPr>
        <w:pStyle w:val="ListParagraph"/>
        <w:numPr>
          <w:ilvl w:val="1"/>
          <w:numId w:val="1"/>
        </w:numPr>
      </w:pPr>
      <w:r w:rsidRPr="0083325C">
        <w:t>Is the association statistically significant?</w:t>
      </w:r>
    </w:p>
    <w:p w14:paraId="4360348C" w14:textId="0476ABEA" w:rsidR="00D67DDC" w:rsidRPr="0083325C" w:rsidRDefault="00D67DDC" w:rsidP="00D67DDC">
      <w:pPr>
        <w:pStyle w:val="ListParagraph"/>
        <w:numPr>
          <w:ilvl w:val="0"/>
          <w:numId w:val="1"/>
        </w:numPr>
      </w:pPr>
      <w:r w:rsidRPr="0083325C">
        <w:t>Overall considerations</w:t>
      </w:r>
    </w:p>
    <w:p w14:paraId="42595C1C" w14:textId="7F002CB9" w:rsidR="00D67DDC" w:rsidRPr="0083325C" w:rsidRDefault="00D67DDC" w:rsidP="00D67DDC">
      <w:pPr>
        <w:pStyle w:val="ListParagraph"/>
        <w:numPr>
          <w:ilvl w:val="1"/>
          <w:numId w:val="1"/>
        </w:numPr>
      </w:pPr>
      <w:r w:rsidRPr="0083325C">
        <w:t>What additional considerations could you make when reading and interpreting this table?</w:t>
      </w:r>
    </w:p>
    <w:p w14:paraId="7D27399E" w14:textId="60C5A3E3" w:rsidR="00DA48FB" w:rsidRPr="0083325C" w:rsidRDefault="00940555" w:rsidP="00DA48FB">
      <w:r w:rsidRPr="0083325C">
        <w:lastRenderedPageBreak/>
        <w:t>Answers:</w:t>
      </w:r>
    </w:p>
    <w:p w14:paraId="1D8AF005" w14:textId="0AA727D1" w:rsidR="00D67DDC" w:rsidRPr="0083325C" w:rsidRDefault="00940555" w:rsidP="00DA48FB">
      <w:r w:rsidRPr="0083325C">
        <w:t xml:space="preserve">1a. </w:t>
      </w:r>
      <w:r w:rsidR="00D67DDC" w:rsidRPr="0083325C">
        <w:t>The B coeffi</w:t>
      </w:r>
      <w:r w:rsidR="00EA00D2" w:rsidRPr="0083325C">
        <w:t xml:space="preserve">cient represents </w:t>
      </w:r>
      <w:r w:rsidR="00D67DDC" w:rsidRPr="0083325C">
        <w:t>difference in the predicted value of the outcome variable for each one-unit change in the predictor variable</w:t>
      </w:r>
      <w:r w:rsidR="00EA00D2" w:rsidRPr="0083325C">
        <w:t xml:space="preserve">. Since it is positive, as the predictor increases, the outcome increases, too. </w:t>
      </w:r>
      <w:r w:rsidR="00485FAD" w:rsidRPr="0083325C">
        <w:t>For every one unit increase in the “writing skills” scale</w:t>
      </w:r>
      <w:r w:rsidR="00C77741" w:rsidRPr="0083325C">
        <w:t>, the</w:t>
      </w:r>
      <w:r w:rsidR="00C961E1" w:rsidRPr="0083325C">
        <w:t xml:space="preserve"> student’s marks increase by 0.45 units.</w:t>
      </w:r>
    </w:p>
    <w:p w14:paraId="62CC3AF9" w14:textId="3C0E3921" w:rsidR="00C961E1" w:rsidRPr="0083325C" w:rsidRDefault="00C961E1" w:rsidP="00DA48FB">
      <w:r w:rsidRPr="0083325C">
        <w:t xml:space="preserve">1b. </w:t>
      </w:r>
      <w:r w:rsidR="00557CE7" w:rsidRPr="0083325C">
        <w:t>The standard error of the B coefficient measures the accuracy of the estimated B coefficient in a regression analysis. It indicates how much the estimated B coefficient is expected to vary due to random sampling variability</w:t>
      </w:r>
      <w:r w:rsidR="006106AB" w:rsidRPr="0083325C">
        <w:t xml:space="preserve">. </w:t>
      </w:r>
      <w:r w:rsidR="00AA64C6" w:rsidRPr="0083325C">
        <w:t xml:space="preserve">It is difficult to interpret on its own, </w:t>
      </w:r>
      <w:r w:rsidR="00DE44DA" w:rsidRPr="0083325C">
        <w:t xml:space="preserve">but it means that the true B coefficient is likely to fall within 0.45 ± </w:t>
      </w:r>
      <w:r w:rsidR="006F3179" w:rsidRPr="0083325C">
        <w:t>(1.96 *</w:t>
      </w:r>
      <w:r w:rsidR="00DE44DA" w:rsidRPr="0083325C">
        <w:t>0.10</w:t>
      </w:r>
      <w:r w:rsidR="006F3179" w:rsidRPr="0083325C">
        <w:t>)</w:t>
      </w:r>
      <w:r w:rsidR="00DE44DA" w:rsidRPr="0083325C">
        <w:t xml:space="preserve"> (i.e., between 0.</w:t>
      </w:r>
      <w:r w:rsidR="00962B1D" w:rsidRPr="0083325C">
        <w:t>2</w:t>
      </w:r>
      <w:r w:rsidR="00DE44DA" w:rsidRPr="0083325C">
        <w:t>5 and 0.</w:t>
      </w:r>
      <w:r w:rsidR="00962B1D" w:rsidRPr="0083325C">
        <w:t>64</w:t>
      </w:r>
      <w:r w:rsidR="00DE44DA" w:rsidRPr="0083325C">
        <w:t>) with a certain level of confidence (</w:t>
      </w:r>
      <w:r w:rsidR="002143B9" w:rsidRPr="0083325C">
        <w:t>usually</w:t>
      </w:r>
      <w:r w:rsidR="00DE44DA" w:rsidRPr="0083325C">
        <w:t xml:space="preserve"> 95%)</w:t>
      </w:r>
    </w:p>
    <w:p w14:paraId="78E54A51" w14:textId="33820824" w:rsidR="0045649F" w:rsidRPr="0083325C" w:rsidRDefault="0045649F" w:rsidP="00DA48FB">
      <w:r w:rsidRPr="0083325C">
        <w:t xml:space="preserve">1c. </w:t>
      </w:r>
      <w:r w:rsidR="00927C27" w:rsidRPr="0083325C">
        <w:t xml:space="preserve">The beta coefficient is a standardized version of the B coefficient. It allows for comparison across different predictors by putting them on a common scale, typically ranging from -1 to 1. In this </w:t>
      </w:r>
      <w:proofErr w:type="gramStart"/>
      <w:r w:rsidR="00927C27" w:rsidRPr="0083325C">
        <w:t>particular instance</w:t>
      </w:r>
      <w:proofErr w:type="gramEnd"/>
      <w:r w:rsidR="00927C27" w:rsidRPr="0083325C">
        <w:t xml:space="preserve">, it is not particularly helpful because the predictor variables are already on the same scale. </w:t>
      </w:r>
    </w:p>
    <w:p w14:paraId="43FB145E" w14:textId="0B52432F" w:rsidR="0010292B" w:rsidRPr="0083325C" w:rsidRDefault="0010292B" w:rsidP="00DA48FB">
      <w:r w:rsidRPr="0083325C">
        <w:t>1d. With the p-value &lt;.05, the association is statistically significant.</w:t>
      </w:r>
    </w:p>
    <w:p w14:paraId="7AC00F1B" w14:textId="1A8C3CA2" w:rsidR="0010292B" w:rsidRPr="0083325C" w:rsidRDefault="0010292B" w:rsidP="0010292B">
      <w:r w:rsidRPr="0083325C">
        <w:t>2a. The B coefficient represents difference in the predicted value of the outcome variable for each one-unit change in the predictor variable. Since it is positive, as the predictor increases, the outcome increases, too. For every one unit increase in the “referencing skills” scale, the student’s marks increase by 0.25 units.</w:t>
      </w:r>
    </w:p>
    <w:p w14:paraId="35106C0E" w14:textId="5FF70FB5" w:rsidR="0010292B" w:rsidRPr="0083325C" w:rsidRDefault="0010292B" w:rsidP="0010292B">
      <w:r w:rsidRPr="0083325C">
        <w:t>2b. The standard error of the B coefficient measures the accuracy of the estimated B coefficient in a regression analysis. It indicates how much the estimated B coefficient is expected to vary due to random sampling variability. It is difficult to interpret on its own, but it means that the true B coefficient is likely to fall within 0.</w:t>
      </w:r>
      <w:r w:rsidR="00616894" w:rsidRPr="0083325C">
        <w:t>2</w:t>
      </w:r>
      <w:r w:rsidRPr="0083325C">
        <w:t>5 ± (1.96 *0.</w:t>
      </w:r>
      <w:r w:rsidR="00616894" w:rsidRPr="0083325C">
        <w:t>08</w:t>
      </w:r>
      <w:r w:rsidRPr="0083325C">
        <w:t>) (i.e., between 0.</w:t>
      </w:r>
      <w:r w:rsidR="00083A3A" w:rsidRPr="0083325C">
        <w:t>09</w:t>
      </w:r>
      <w:r w:rsidRPr="0083325C">
        <w:t xml:space="preserve"> and 0.</w:t>
      </w:r>
      <w:r w:rsidR="00083A3A" w:rsidRPr="0083325C">
        <w:t>41</w:t>
      </w:r>
      <w:r w:rsidRPr="0083325C">
        <w:t>) with a certain level of confidence (usually 95%)</w:t>
      </w:r>
    </w:p>
    <w:p w14:paraId="520E28A1" w14:textId="4F72B4A6" w:rsidR="0010292B" w:rsidRPr="0083325C" w:rsidRDefault="0010292B" w:rsidP="0010292B">
      <w:r w:rsidRPr="0083325C">
        <w:t xml:space="preserve">2c. The beta coefficient is a standardized version of the B coefficient. It allows for comparison across different predictors by putting them on a common scale, typically ranging from -1 to 1. In this </w:t>
      </w:r>
      <w:proofErr w:type="gramStart"/>
      <w:r w:rsidRPr="0083325C">
        <w:t>particular instance</w:t>
      </w:r>
      <w:proofErr w:type="gramEnd"/>
      <w:r w:rsidRPr="0083325C">
        <w:t xml:space="preserve">, it is not particularly helpful because the predictor variables are already on the same scale. </w:t>
      </w:r>
    </w:p>
    <w:p w14:paraId="043996A3" w14:textId="6D9B4002" w:rsidR="0010292B" w:rsidRPr="0083325C" w:rsidRDefault="0010292B" w:rsidP="0010292B">
      <w:r w:rsidRPr="0083325C">
        <w:t>2d. With the p-value &lt;.05, the association is statistically significant.</w:t>
      </w:r>
    </w:p>
    <w:p w14:paraId="09E6F374" w14:textId="15BE5A5C" w:rsidR="00083A3A" w:rsidRPr="0083325C" w:rsidRDefault="00083A3A" w:rsidP="00083A3A">
      <w:r w:rsidRPr="0083325C">
        <w:t>3a. The B coefficient represents difference in the predicted value of the outcome variable for each one-unit change in the predictor variable. Since it is positive, as the predictor increases, the outcome increases, too. For every one unit increase in the “</w:t>
      </w:r>
      <w:r w:rsidR="002719EF" w:rsidRPr="0083325C">
        <w:t>critical thinking</w:t>
      </w:r>
      <w:r w:rsidRPr="0083325C">
        <w:t xml:space="preserve"> skills” scale, the student’s marks increase by </w:t>
      </w:r>
      <w:r w:rsidR="002719EF" w:rsidRPr="0083325C">
        <w:t>1</w:t>
      </w:r>
      <w:r w:rsidRPr="0083325C">
        <w:t>.</w:t>
      </w:r>
      <w:r w:rsidR="002719EF" w:rsidRPr="0083325C">
        <w:t>10</w:t>
      </w:r>
      <w:r w:rsidRPr="0083325C">
        <w:t xml:space="preserve"> units.</w:t>
      </w:r>
    </w:p>
    <w:p w14:paraId="7C166A7A" w14:textId="1C2273ED" w:rsidR="00083A3A" w:rsidRPr="0083325C" w:rsidRDefault="00083A3A" w:rsidP="00083A3A">
      <w:r w:rsidRPr="0083325C">
        <w:t xml:space="preserve">3b. The standard error of the B coefficient measures the accuracy of the estimated B coefficient in a regression analysis. It indicates how much the estimated B coefficient is expected to vary due to random sampling variability. It is difficult to interpret on its own, but it means that the true B coefficient is likely to fall within </w:t>
      </w:r>
      <w:r w:rsidR="002719EF" w:rsidRPr="0083325C">
        <w:t>1</w:t>
      </w:r>
      <w:r w:rsidRPr="0083325C">
        <w:t>.</w:t>
      </w:r>
      <w:r w:rsidR="002719EF" w:rsidRPr="0083325C">
        <w:t>10</w:t>
      </w:r>
      <w:r w:rsidRPr="0083325C">
        <w:t xml:space="preserve"> ± (1.96 *0.</w:t>
      </w:r>
      <w:r w:rsidR="00113835" w:rsidRPr="0083325C">
        <w:t>20</w:t>
      </w:r>
      <w:r w:rsidRPr="0083325C">
        <w:t>) (i.e., between 0.</w:t>
      </w:r>
      <w:r w:rsidR="00B94E0E" w:rsidRPr="0083325C">
        <w:t xml:space="preserve">71 </w:t>
      </w:r>
      <w:r w:rsidRPr="0083325C">
        <w:t xml:space="preserve">and </w:t>
      </w:r>
      <w:r w:rsidR="00B94E0E" w:rsidRPr="0083325C">
        <w:t>1</w:t>
      </w:r>
      <w:r w:rsidRPr="0083325C">
        <w:t>.</w:t>
      </w:r>
      <w:r w:rsidR="00B94E0E" w:rsidRPr="0083325C">
        <w:t>49</w:t>
      </w:r>
      <w:r w:rsidRPr="0083325C">
        <w:t>) with a certain level of confidence (usually 95%)</w:t>
      </w:r>
      <w:r w:rsidR="00B94E0E" w:rsidRPr="0083325C">
        <w:t>. Compared to “writing skills” and “referencing skills”, we notice that th</w:t>
      </w:r>
      <w:r w:rsidR="00EA1EBD" w:rsidRPr="0083325C">
        <w:t xml:space="preserve">e standard error is larger, so the precision of the estimate is </w:t>
      </w:r>
      <w:r w:rsidR="00E165E6" w:rsidRPr="0083325C">
        <w:t xml:space="preserve">smaller. </w:t>
      </w:r>
    </w:p>
    <w:p w14:paraId="02FFB326" w14:textId="47B7C0BA" w:rsidR="00083A3A" w:rsidRPr="0083325C" w:rsidRDefault="00083A3A" w:rsidP="00083A3A">
      <w:r w:rsidRPr="0083325C">
        <w:t xml:space="preserve">3c. The beta coefficient is a standardized version of the B coefficient. It allows for comparison across different predictors by putting them on a common scale, typically ranging from -1 to 1. In </w:t>
      </w:r>
      <w:r w:rsidRPr="0083325C">
        <w:lastRenderedPageBreak/>
        <w:t xml:space="preserve">this </w:t>
      </w:r>
      <w:proofErr w:type="gramStart"/>
      <w:r w:rsidRPr="0083325C">
        <w:t>particular instance</w:t>
      </w:r>
      <w:proofErr w:type="gramEnd"/>
      <w:r w:rsidRPr="0083325C">
        <w:t xml:space="preserve">, it is not particularly helpful because the predictor variables are already on the same scale. </w:t>
      </w:r>
    </w:p>
    <w:p w14:paraId="268870C7" w14:textId="3A8EF7E6" w:rsidR="00083A3A" w:rsidRPr="0083325C" w:rsidRDefault="00083A3A" w:rsidP="00083A3A">
      <w:r w:rsidRPr="0083325C">
        <w:t>3d. With the p-value &lt;.05, the association is statistically significant.</w:t>
      </w:r>
    </w:p>
    <w:p w14:paraId="22960039" w14:textId="400D274D" w:rsidR="00E165E6" w:rsidRPr="0083325C" w:rsidRDefault="00E165E6" w:rsidP="00E165E6">
      <w:r w:rsidRPr="0083325C">
        <w:t>4a. The B coefficient represents difference in the predicted value of the outcome variable for each one-unit change in the predictor variable. Since it is negative, as the predictor increases, the outcome decreases, too. For every one unit increase in the “mathematical skills” scale, the student’s marks decrease by 0.05 units.</w:t>
      </w:r>
    </w:p>
    <w:p w14:paraId="6F9342AD" w14:textId="683FEEE1" w:rsidR="00E165E6" w:rsidRPr="0083325C" w:rsidRDefault="00E165E6" w:rsidP="00E165E6">
      <w:r w:rsidRPr="0083325C">
        <w:t xml:space="preserve">3b. The standard error of the B coefficient measures the accuracy of the estimated B coefficient in a regression analysis. It indicates how much the estimated B coefficient is expected to vary due to random sampling variability. It is difficult to interpret on its own, but it means that the true B coefficient is likely to fall within -0.05 ± (1.96 *0.05) (i.e., between </w:t>
      </w:r>
      <w:r w:rsidR="00767049" w:rsidRPr="0083325C">
        <w:t>-</w:t>
      </w:r>
      <w:r w:rsidRPr="0083325C">
        <w:t>0.</w:t>
      </w:r>
      <w:r w:rsidR="00767049" w:rsidRPr="0083325C">
        <w:t>15</w:t>
      </w:r>
      <w:r w:rsidRPr="0083325C">
        <w:t xml:space="preserve"> and </w:t>
      </w:r>
      <w:r w:rsidR="00767049" w:rsidRPr="0083325C">
        <w:t>0</w:t>
      </w:r>
      <w:r w:rsidRPr="0083325C">
        <w:t>.</w:t>
      </w:r>
      <w:r w:rsidR="00767049" w:rsidRPr="0083325C">
        <w:t>05</w:t>
      </w:r>
      <w:r w:rsidRPr="0083325C">
        <w:t xml:space="preserve">) with a certain level of confidence (usually 95%). </w:t>
      </w:r>
    </w:p>
    <w:p w14:paraId="7F71E67C" w14:textId="77777777" w:rsidR="00E165E6" w:rsidRPr="0083325C" w:rsidRDefault="00E165E6" w:rsidP="00E165E6">
      <w:r w:rsidRPr="0083325C">
        <w:t xml:space="preserve">3c. The beta coefficient is a standardized version of the B coefficient. It allows for comparison across different predictors by putting them on a common scale, typically ranging from -1 to 1. In this </w:t>
      </w:r>
      <w:proofErr w:type="gramStart"/>
      <w:r w:rsidRPr="0083325C">
        <w:t>particular instance</w:t>
      </w:r>
      <w:proofErr w:type="gramEnd"/>
      <w:r w:rsidRPr="0083325C">
        <w:t xml:space="preserve">, it is not particularly helpful because the predictor variables are already on the same scale. </w:t>
      </w:r>
    </w:p>
    <w:p w14:paraId="4FA42067" w14:textId="0CBC2C14" w:rsidR="00E165E6" w:rsidRPr="0083325C" w:rsidRDefault="00E165E6" w:rsidP="00E165E6">
      <w:r w:rsidRPr="0083325C">
        <w:t xml:space="preserve">3d. With the p-value </w:t>
      </w:r>
      <w:r w:rsidR="006B03DA" w:rsidRPr="0083325C">
        <w:t>&gt;</w:t>
      </w:r>
      <w:r w:rsidRPr="0083325C">
        <w:t xml:space="preserve">.05, the association is </w:t>
      </w:r>
      <w:r w:rsidR="006B03DA" w:rsidRPr="0083325C">
        <w:rPr>
          <w:b/>
          <w:bCs/>
        </w:rPr>
        <w:t>not</w:t>
      </w:r>
      <w:r w:rsidR="006B03DA" w:rsidRPr="0083325C">
        <w:t xml:space="preserve"> </w:t>
      </w:r>
      <w:r w:rsidRPr="0083325C">
        <w:t>statistically significant.</w:t>
      </w:r>
    </w:p>
    <w:p w14:paraId="050D7A7E" w14:textId="23601E28" w:rsidR="006B03DA" w:rsidRPr="0083325C" w:rsidRDefault="006B03DA" w:rsidP="00E165E6">
      <w:r w:rsidRPr="0083325C">
        <w:t>5a. There are some additional considerations</w:t>
      </w:r>
      <w:r w:rsidR="00976DBD" w:rsidRPr="0083325C">
        <w:t xml:space="preserve"> that you should make when reading this table:</w:t>
      </w:r>
    </w:p>
    <w:p w14:paraId="16FD17A0" w14:textId="14EB56C4" w:rsidR="00407E67" w:rsidRPr="0083325C" w:rsidRDefault="00976DBD" w:rsidP="00976DBD">
      <w:pPr>
        <w:pStyle w:val="ListParagraph"/>
        <w:numPr>
          <w:ilvl w:val="0"/>
          <w:numId w:val="4"/>
        </w:numPr>
      </w:pPr>
      <w:r w:rsidRPr="0083325C">
        <w:t xml:space="preserve">What is the study sample size? </w:t>
      </w:r>
      <w:r w:rsidR="00407E67" w:rsidRPr="0083325C">
        <w:t xml:space="preserve">The small standard errors </w:t>
      </w:r>
      <w:r w:rsidR="00A96177" w:rsidRPr="0083325C">
        <w:t xml:space="preserve">suggest the sample size was appropriate, but it is important to know how many students were </w:t>
      </w:r>
      <w:r w:rsidR="008922A2" w:rsidRPr="0083325C">
        <w:t>sampled in total to put the results into context.</w:t>
      </w:r>
    </w:p>
    <w:p w14:paraId="57908300" w14:textId="4F9FAE89" w:rsidR="00976DBD" w:rsidRPr="0083325C" w:rsidRDefault="00976DBD" w:rsidP="00976DBD">
      <w:pPr>
        <w:pStyle w:val="ListParagraph"/>
        <w:numPr>
          <w:ilvl w:val="0"/>
          <w:numId w:val="4"/>
        </w:numPr>
      </w:pPr>
      <w:r w:rsidRPr="0083325C">
        <w:t>What is the</w:t>
      </w:r>
      <w:r w:rsidR="005F5B73" w:rsidRPr="0083325C">
        <w:t xml:space="preserve"> demographic breakdown</w:t>
      </w:r>
      <w:r w:rsidRPr="0083325C">
        <w:t xml:space="preserve"> of the sample, for example what </w:t>
      </w:r>
      <w:r w:rsidR="00407E67" w:rsidRPr="0083325C">
        <w:t>were the distributions for degree type e.g. humanities, stem? That would</w:t>
      </w:r>
      <w:r w:rsidR="005F5B73" w:rsidRPr="0083325C">
        <w:t xml:space="preserve"> help us interpret the results</w:t>
      </w:r>
      <w:r w:rsidR="007A3AD2" w:rsidRPr="0083325C">
        <w:t xml:space="preserve">, for example a sample that was rich in humanities students </w:t>
      </w:r>
      <w:r w:rsidR="00864CF0" w:rsidRPr="0083325C">
        <w:t xml:space="preserve">would explain the magnitude of the association for the variable “writing skills” </w:t>
      </w:r>
      <w:r w:rsidR="00E83B21" w:rsidRPr="0083325C">
        <w:t>compared to that of “mathematic skills”</w:t>
      </w:r>
    </w:p>
    <w:p w14:paraId="2837828A" w14:textId="41A8FB33" w:rsidR="00E83B21" w:rsidRPr="0083325C" w:rsidRDefault="00E83B21" w:rsidP="00976DBD">
      <w:pPr>
        <w:pStyle w:val="ListParagraph"/>
        <w:numPr>
          <w:ilvl w:val="0"/>
          <w:numId w:val="4"/>
        </w:numPr>
      </w:pPr>
      <w:r w:rsidRPr="0083325C">
        <w:t xml:space="preserve">Related to the point above, </w:t>
      </w:r>
      <w:r w:rsidR="00C37C2E" w:rsidRPr="0083325C">
        <w:t xml:space="preserve">consider whether results have been adjusted for potential confounders. For example, besides demographic variables, the researchers could have controlled for degree type e.g. </w:t>
      </w:r>
      <w:r w:rsidR="00295353" w:rsidRPr="0083325C">
        <w:t>stem vs humanities; route to university e.g. a-levels vs foundation year</w:t>
      </w:r>
      <w:r w:rsidR="00F32B39" w:rsidRPr="0083325C">
        <w:t xml:space="preserve"> (during a foundation year students typically have access to significant academic skills training that not all students might have during college)</w:t>
      </w:r>
      <w:r w:rsidR="00772E2B" w:rsidRPr="0083325C">
        <w:t xml:space="preserve">. Can you think of </w:t>
      </w:r>
      <w:proofErr w:type="gramStart"/>
      <w:r w:rsidR="00772E2B" w:rsidRPr="0083325C">
        <w:t>any more</w:t>
      </w:r>
      <w:proofErr w:type="gramEnd"/>
      <w:r w:rsidR="00772E2B" w:rsidRPr="0083325C">
        <w:t>?</w:t>
      </w:r>
    </w:p>
    <w:p w14:paraId="47C96DCA" w14:textId="61EF4E78" w:rsidR="00446012" w:rsidRPr="0083325C" w:rsidRDefault="00446012">
      <w:pPr>
        <w:pBdr>
          <w:bottom w:val="single" w:sz="6" w:space="1" w:color="auto"/>
        </w:pBdr>
      </w:pPr>
    </w:p>
    <w:p w14:paraId="1BFA0761" w14:textId="77777777" w:rsidR="00C66C90" w:rsidRPr="0083325C" w:rsidRDefault="00C66C90"/>
    <w:p w14:paraId="06E7C2C5" w14:textId="17C453A4" w:rsidR="003659C3" w:rsidRPr="0083325C" w:rsidRDefault="00D75B9A">
      <w:r w:rsidRPr="0083325C">
        <w:t>You are reading a</w:t>
      </w:r>
      <w:r w:rsidR="00464EA5" w:rsidRPr="0083325C">
        <w:t xml:space="preserve"> paper</w:t>
      </w:r>
      <w:r w:rsidRPr="0083325C">
        <w:t xml:space="preserve"> where</w:t>
      </w:r>
      <w:r w:rsidR="00464EA5" w:rsidRPr="0083325C">
        <w:t xml:space="preserve"> authors </w:t>
      </w:r>
      <w:r w:rsidR="00191784" w:rsidRPr="0083325C">
        <w:t>aim</w:t>
      </w:r>
      <w:r w:rsidR="003659C3" w:rsidRPr="0083325C">
        <w:t xml:space="preserve">ed to </w:t>
      </w:r>
      <w:r w:rsidR="008F61C5" w:rsidRPr="0083325C">
        <w:t xml:space="preserve">measure the association between </w:t>
      </w:r>
      <w:r w:rsidR="001A6721" w:rsidRPr="0083325C">
        <w:t xml:space="preserve">individuals </w:t>
      </w:r>
      <w:r w:rsidR="00DF0431" w:rsidRPr="0083325C">
        <w:t>aged 50-60</w:t>
      </w:r>
      <w:r w:rsidR="00EA3FC6" w:rsidRPr="0083325C">
        <w:t xml:space="preserve">’s job characteristics and decision to take early retirement (before 60 years old). </w:t>
      </w:r>
    </w:p>
    <w:p w14:paraId="5C012C0C" w14:textId="2FF2B9E7" w:rsidR="003F1F46" w:rsidRPr="0083325C" w:rsidRDefault="00DD57CF">
      <w:r w:rsidRPr="0083325C">
        <w:t>They report the following table:</w:t>
      </w:r>
    </w:p>
    <w:tbl>
      <w:tblPr>
        <w:tblStyle w:val="TableGrid1"/>
        <w:tblW w:w="8926" w:type="dxa"/>
        <w:tblLayout w:type="fixed"/>
        <w:tblLook w:val="04A0" w:firstRow="1" w:lastRow="0" w:firstColumn="1" w:lastColumn="0" w:noHBand="0" w:noVBand="1"/>
      </w:tblPr>
      <w:tblGrid>
        <w:gridCol w:w="2263"/>
        <w:gridCol w:w="1134"/>
        <w:gridCol w:w="1276"/>
        <w:gridCol w:w="992"/>
        <w:gridCol w:w="1134"/>
        <w:gridCol w:w="1276"/>
        <w:gridCol w:w="851"/>
      </w:tblGrid>
      <w:tr w:rsidR="00D75B9A" w:rsidRPr="0083325C" w14:paraId="2AE8C97B" w14:textId="77777777" w:rsidTr="00396669">
        <w:trPr>
          <w:trHeight w:val="300"/>
        </w:trPr>
        <w:tc>
          <w:tcPr>
            <w:tcW w:w="2263" w:type="dxa"/>
            <w:tcBorders>
              <w:left w:val="nil"/>
              <w:bottom w:val="single" w:sz="4" w:space="0" w:color="auto"/>
              <w:right w:val="nil"/>
            </w:tcBorders>
            <w:noWrap/>
          </w:tcPr>
          <w:p w14:paraId="1F079011" w14:textId="77777777" w:rsidR="00D75B9A" w:rsidRPr="0083325C" w:rsidRDefault="00D75B9A" w:rsidP="00D75B9A">
            <w:pPr>
              <w:rPr>
                <w:rFonts w:eastAsia="Aptos" w:cs="Aptos"/>
                <w:b/>
                <w:bCs/>
                <w:sz w:val="20"/>
                <w:szCs w:val="20"/>
              </w:rPr>
            </w:pPr>
          </w:p>
        </w:tc>
        <w:tc>
          <w:tcPr>
            <w:tcW w:w="3402" w:type="dxa"/>
            <w:gridSpan w:val="3"/>
            <w:tcBorders>
              <w:left w:val="nil"/>
              <w:bottom w:val="single" w:sz="4" w:space="0" w:color="auto"/>
            </w:tcBorders>
            <w:shd w:val="clear" w:color="auto" w:fill="auto"/>
            <w:noWrap/>
            <w:vAlign w:val="center"/>
          </w:tcPr>
          <w:p w14:paraId="002EA8AF" w14:textId="77777777" w:rsidR="00D75B9A" w:rsidRPr="0083325C" w:rsidRDefault="00D75B9A" w:rsidP="00D75B9A">
            <w:pPr>
              <w:rPr>
                <w:rFonts w:eastAsia="Aptos" w:cs="Aptos"/>
                <w:b/>
                <w:bCs/>
                <w:sz w:val="20"/>
                <w:szCs w:val="20"/>
              </w:rPr>
            </w:pPr>
            <w:r w:rsidRPr="0083325C">
              <w:rPr>
                <w:rFonts w:eastAsia="Aptos" w:cs="Aptos"/>
                <w:b/>
                <w:bCs/>
                <w:sz w:val="20"/>
                <w:szCs w:val="20"/>
              </w:rPr>
              <w:t xml:space="preserve"> Univariable associations</w:t>
            </w:r>
          </w:p>
        </w:tc>
        <w:tc>
          <w:tcPr>
            <w:tcW w:w="3261" w:type="dxa"/>
            <w:gridSpan w:val="3"/>
            <w:tcBorders>
              <w:bottom w:val="single" w:sz="4" w:space="0" w:color="auto"/>
              <w:right w:val="nil"/>
            </w:tcBorders>
            <w:shd w:val="clear" w:color="auto" w:fill="auto"/>
            <w:vAlign w:val="center"/>
          </w:tcPr>
          <w:p w14:paraId="1909E026" w14:textId="77777777" w:rsidR="00D75B9A" w:rsidRPr="0083325C" w:rsidRDefault="00D75B9A" w:rsidP="00D75B9A">
            <w:pPr>
              <w:rPr>
                <w:rFonts w:eastAsia="Aptos" w:cs="Aptos"/>
                <w:b/>
                <w:bCs/>
                <w:sz w:val="20"/>
                <w:szCs w:val="20"/>
              </w:rPr>
            </w:pPr>
            <w:r w:rsidRPr="0083325C">
              <w:rPr>
                <w:rFonts w:eastAsia="Aptos" w:cs="Aptos"/>
                <w:b/>
                <w:bCs/>
                <w:sz w:val="20"/>
                <w:szCs w:val="20"/>
              </w:rPr>
              <w:t>Full model*</w:t>
            </w:r>
          </w:p>
        </w:tc>
      </w:tr>
      <w:tr w:rsidR="00D75B9A" w:rsidRPr="0083325C" w14:paraId="5954A765" w14:textId="77777777" w:rsidTr="00396669">
        <w:trPr>
          <w:trHeight w:val="300"/>
        </w:trPr>
        <w:tc>
          <w:tcPr>
            <w:tcW w:w="2263" w:type="dxa"/>
            <w:tcBorders>
              <w:left w:val="nil"/>
              <w:right w:val="nil"/>
            </w:tcBorders>
            <w:noWrap/>
            <w:hideMark/>
          </w:tcPr>
          <w:p w14:paraId="3F8633F4" w14:textId="77777777" w:rsidR="00D75B9A" w:rsidRPr="0083325C" w:rsidRDefault="00D75B9A" w:rsidP="00D75B9A">
            <w:pPr>
              <w:rPr>
                <w:rFonts w:eastAsia="Aptos" w:cs="Aptos"/>
                <w:b/>
                <w:bCs/>
                <w:sz w:val="20"/>
                <w:szCs w:val="20"/>
              </w:rPr>
            </w:pPr>
          </w:p>
        </w:tc>
        <w:tc>
          <w:tcPr>
            <w:tcW w:w="1134" w:type="dxa"/>
            <w:tcBorders>
              <w:left w:val="nil"/>
              <w:right w:val="nil"/>
            </w:tcBorders>
          </w:tcPr>
          <w:p w14:paraId="1A83F381" w14:textId="77777777" w:rsidR="00D75B9A" w:rsidRPr="0083325C" w:rsidRDefault="00D75B9A" w:rsidP="00D75B9A">
            <w:pPr>
              <w:jc w:val="center"/>
              <w:rPr>
                <w:rFonts w:eastAsia="Aptos" w:cs="Aptos"/>
                <w:b/>
                <w:bCs/>
                <w:sz w:val="20"/>
                <w:szCs w:val="20"/>
              </w:rPr>
            </w:pPr>
            <w:r w:rsidRPr="0083325C">
              <w:rPr>
                <w:rFonts w:eastAsia="Aptos" w:cs="Aptos"/>
                <w:b/>
                <w:bCs/>
                <w:sz w:val="20"/>
                <w:szCs w:val="20"/>
              </w:rPr>
              <w:t>OR</w:t>
            </w:r>
          </w:p>
        </w:tc>
        <w:tc>
          <w:tcPr>
            <w:tcW w:w="1276" w:type="dxa"/>
            <w:tcBorders>
              <w:left w:val="nil"/>
              <w:right w:val="nil"/>
            </w:tcBorders>
          </w:tcPr>
          <w:p w14:paraId="532169DD" w14:textId="77777777" w:rsidR="00D75B9A" w:rsidRPr="0083325C" w:rsidRDefault="00D75B9A" w:rsidP="00D75B9A">
            <w:pPr>
              <w:jc w:val="center"/>
              <w:rPr>
                <w:rFonts w:eastAsia="Aptos" w:cs="Aptos"/>
                <w:b/>
                <w:bCs/>
                <w:sz w:val="20"/>
                <w:szCs w:val="20"/>
              </w:rPr>
            </w:pPr>
            <w:r w:rsidRPr="0083325C">
              <w:rPr>
                <w:rFonts w:eastAsia="Aptos" w:cs="Aptos"/>
                <w:b/>
                <w:bCs/>
                <w:sz w:val="20"/>
                <w:szCs w:val="20"/>
              </w:rPr>
              <w:t>95% CI</w:t>
            </w:r>
          </w:p>
          <w:p w14:paraId="43E7207F" w14:textId="77777777" w:rsidR="00D75B9A" w:rsidRPr="0083325C" w:rsidRDefault="00D75B9A" w:rsidP="00D75B9A">
            <w:pPr>
              <w:jc w:val="center"/>
              <w:rPr>
                <w:rFonts w:eastAsia="Aptos" w:cs="Aptos"/>
                <w:b/>
                <w:bCs/>
                <w:sz w:val="20"/>
                <w:szCs w:val="20"/>
              </w:rPr>
            </w:pPr>
          </w:p>
        </w:tc>
        <w:tc>
          <w:tcPr>
            <w:tcW w:w="992" w:type="dxa"/>
            <w:tcBorders>
              <w:left w:val="nil"/>
            </w:tcBorders>
          </w:tcPr>
          <w:p w14:paraId="14D6807B" w14:textId="77777777" w:rsidR="00D75B9A" w:rsidRPr="0083325C" w:rsidRDefault="00D75B9A" w:rsidP="00D75B9A">
            <w:pPr>
              <w:jc w:val="center"/>
              <w:rPr>
                <w:rFonts w:eastAsia="Aptos" w:cs="Aptos"/>
                <w:b/>
                <w:bCs/>
                <w:sz w:val="20"/>
                <w:szCs w:val="20"/>
              </w:rPr>
            </w:pPr>
            <w:r w:rsidRPr="0083325C">
              <w:rPr>
                <w:rFonts w:eastAsia="Aptos" w:cs="Aptos"/>
                <w:b/>
                <w:bCs/>
                <w:sz w:val="20"/>
                <w:szCs w:val="20"/>
              </w:rPr>
              <w:t>p</w:t>
            </w:r>
          </w:p>
        </w:tc>
        <w:tc>
          <w:tcPr>
            <w:tcW w:w="1134" w:type="dxa"/>
            <w:tcBorders>
              <w:right w:val="nil"/>
            </w:tcBorders>
          </w:tcPr>
          <w:p w14:paraId="040BA815" w14:textId="77777777" w:rsidR="00D75B9A" w:rsidRPr="0083325C" w:rsidRDefault="00D75B9A" w:rsidP="00D75B9A">
            <w:pPr>
              <w:jc w:val="center"/>
              <w:rPr>
                <w:rFonts w:eastAsia="Aptos" w:cs="Aptos"/>
                <w:b/>
                <w:bCs/>
                <w:sz w:val="20"/>
                <w:szCs w:val="20"/>
              </w:rPr>
            </w:pPr>
            <w:r w:rsidRPr="0083325C">
              <w:rPr>
                <w:rFonts w:eastAsia="Aptos" w:cs="Aptos"/>
                <w:b/>
                <w:bCs/>
                <w:sz w:val="20"/>
                <w:szCs w:val="20"/>
              </w:rPr>
              <w:t>OR</w:t>
            </w:r>
          </w:p>
        </w:tc>
        <w:tc>
          <w:tcPr>
            <w:tcW w:w="1276" w:type="dxa"/>
            <w:tcBorders>
              <w:left w:val="nil"/>
              <w:right w:val="nil"/>
            </w:tcBorders>
          </w:tcPr>
          <w:p w14:paraId="4E3BE659" w14:textId="77777777" w:rsidR="00D75B9A" w:rsidRPr="0083325C" w:rsidRDefault="00D75B9A" w:rsidP="00D75B9A">
            <w:pPr>
              <w:jc w:val="center"/>
              <w:rPr>
                <w:rFonts w:eastAsia="Aptos" w:cs="Aptos"/>
                <w:b/>
                <w:bCs/>
                <w:sz w:val="20"/>
                <w:szCs w:val="20"/>
              </w:rPr>
            </w:pPr>
            <w:r w:rsidRPr="0083325C">
              <w:rPr>
                <w:rFonts w:eastAsia="Aptos" w:cs="Aptos"/>
                <w:b/>
                <w:bCs/>
                <w:sz w:val="20"/>
                <w:szCs w:val="20"/>
              </w:rPr>
              <w:t>95% CI</w:t>
            </w:r>
          </w:p>
          <w:p w14:paraId="6B00D16D" w14:textId="77777777" w:rsidR="00D75B9A" w:rsidRPr="0083325C" w:rsidRDefault="00D75B9A" w:rsidP="00D75B9A">
            <w:pPr>
              <w:jc w:val="center"/>
              <w:rPr>
                <w:rFonts w:eastAsia="Aptos" w:cs="Aptos"/>
                <w:b/>
                <w:bCs/>
                <w:sz w:val="20"/>
                <w:szCs w:val="20"/>
              </w:rPr>
            </w:pPr>
          </w:p>
        </w:tc>
        <w:tc>
          <w:tcPr>
            <w:tcW w:w="851" w:type="dxa"/>
            <w:tcBorders>
              <w:left w:val="nil"/>
              <w:right w:val="nil"/>
            </w:tcBorders>
          </w:tcPr>
          <w:p w14:paraId="196F2E6C" w14:textId="77777777" w:rsidR="00D75B9A" w:rsidRPr="0083325C" w:rsidRDefault="00D75B9A" w:rsidP="00D75B9A">
            <w:pPr>
              <w:jc w:val="center"/>
              <w:rPr>
                <w:rFonts w:eastAsia="Aptos" w:cs="Aptos"/>
                <w:b/>
                <w:bCs/>
                <w:sz w:val="20"/>
                <w:szCs w:val="20"/>
              </w:rPr>
            </w:pPr>
            <w:r w:rsidRPr="0083325C">
              <w:rPr>
                <w:rFonts w:eastAsia="Aptos" w:cs="Aptos"/>
                <w:b/>
                <w:bCs/>
                <w:sz w:val="20"/>
                <w:szCs w:val="20"/>
              </w:rPr>
              <w:t>p</w:t>
            </w:r>
          </w:p>
        </w:tc>
      </w:tr>
      <w:tr w:rsidR="00415C65" w:rsidRPr="0083325C" w14:paraId="457E4F42" w14:textId="77777777" w:rsidTr="00556710">
        <w:trPr>
          <w:trHeight w:val="300"/>
        </w:trPr>
        <w:tc>
          <w:tcPr>
            <w:tcW w:w="2263" w:type="dxa"/>
            <w:tcBorders>
              <w:left w:val="nil"/>
              <w:right w:val="nil"/>
            </w:tcBorders>
            <w:noWrap/>
          </w:tcPr>
          <w:p w14:paraId="1FA6B672" w14:textId="10CCAF54" w:rsidR="00415C65" w:rsidRPr="0083325C" w:rsidRDefault="0008185C" w:rsidP="00415C65">
            <w:pPr>
              <w:rPr>
                <w:rFonts w:eastAsia="Aptos" w:cs="Aptos"/>
                <w:sz w:val="20"/>
                <w:szCs w:val="20"/>
              </w:rPr>
            </w:pPr>
            <w:r w:rsidRPr="0083325C">
              <w:rPr>
                <w:rFonts w:eastAsia="Aptos" w:cs="Aptos"/>
                <w:sz w:val="20"/>
                <w:szCs w:val="20"/>
              </w:rPr>
              <w:t xml:space="preserve">Having a younger line </w:t>
            </w:r>
            <w:r w:rsidRPr="0083325C">
              <w:rPr>
                <w:rFonts w:eastAsia="Aptos" w:cs="Aptos"/>
                <w:sz w:val="20"/>
                <w:szCs w:val="20"/>
              </w:rPr>
              <w:lastRenderedPageBreak/>
              <w:t>manager</w:t>
            </w:r>
          </w:p>
        </w:tc>
        <w:tc>
          <w:tcPr>
            <w:tcW w:w="1134" w:type="dxa"/>
            <w:vAlign w:val="center"/>
          </w:tcPr>
          <w:p w14:paraId="59B1E457" w14:textId="7969E279" w:rsidR="00415C65" w:rsidRPr="0083325C" w:rsidRDefault="00415C65" w:rsidP="00415C65">
            <w:pPr>
              <w:jc w:val="center"/>
              <w:rPr>
                <w:rFonts w:eastAsia="Aptos" w:cs="Aptos"/>
                <w:sz w:val="20"/>
                <w:szCs w:val="20"/>
              </w:rPr>
            </w:pPr>
            <w:r w:rsidRPr="0083325C">
              <w:rPr>
                <w:rFonts w:cstheme="minorHAnsi"/>
                <w:sz w:val="20"/>
                <w:szCs w:val="20"/>
              </w:rPr>
              <w:lastRenderedPageBreak/>
              <w:t>1.</w:t>
            </w:r>
            <w:r w:rsidR="000B42E0" w:rsidRPr="0083325C">
              <w:rPr>
                <w:rFonts w:cstheme="minorHAnsi"/>
                <w:sz w:val="20"/>
                <w:szCs w:val="20"/>
              </w:rPr>
              <w:t>1</w:t>
            </w:r>
            <w:r w:rsidR="009E0824" w:rsidRPr="0083325C">
              <w:rPr>
                <w:rFonts w:cstheme="minorHAnsi"/>
                <w:sz w:val="20"/>
                <w:szCs w:val="20"/>
              </w:rPr>
              <w:t>2</w:t>
            </w:r>
          </w:p>
        </w:tc>
        <w:tc>
          <w:tcPr>
            <w:tcW w:w="1276" w:type="dxa"/>
            <w:vAlign w:val="center"/>
          </w:tcPr>
          <w:p w14:paraId="1891CEE6" w14:textId="519C0FA1" w:rsidR="00415C65" w:rsidRPr="0083325C" w:rsidRDefault="00415C65" w:rsidP="00415C65">
            <w:pPr>
              <w:jc w:val="center"/>
              <w:rPr>
                <w:rFonts w:eastAsia="Aptos" w:cs="Aptos"/>
                <w:sz w:val="20"/>
                <w:szCs w:val="20"/>
              </w:rPr>
            </w:pPr>
            <w:r w:rsidRPr="0083325C">
              <w:rPr>
                <w:rFonts w:cstheme="minorHAnsi"/>
                <w:sz w:val="20"/>
                <w:szCs w:val="20"/>
              </w:rPr>
              <w:t>1.</w:t>
            </w:r>
            <w:r w:rsidR="000B1A49" w:rsidRPr="0083325C">
              <w:rPr>
                <w:rFonts w:cstheme="minorHAnsi"/>
                <w:sz w:val="20"/>
                <w:szCs w:val="20"/>
              </w:rPr>
              <w:t>0</w:t>
            </w:r>
            <w:r w:rsidR="009E0824" w:rsidRPr="0083325C">
              <w:rPr>
                <w:rFonts w:cstheme="minorHAnsi"/>
                <w:sz w:val="20"/>
                <w:szCs w:val="20"/>
              </w:rPr>
              <w:t>1</w:t>
            </w:r>
            <w:r w:rsidRPr="0083325C">
              <w:rPr>
                <w:rFonts w:cstheme="minorHAnsi"/>
                <w:sz w:val="20"/>
                <w:szCs w:val="20"/>
              </w:rPr>
              <w:t>-1.</w:t>
            </w:r>
            <w:r w:rsidR="000B1A49" w:rsidRPr="0083325C">
              <w:rPr>
                <w:rFonts w:cstheme="minorHAnsi"/>
                <w:sz w:val="20"/>
                <w:szCs w:val="20"/>
              </w:rPr>
              <w:t>2</w:t>
            </w:r>
            <w:r w:rsidRPr="0083325C">
              <w:rPr>
                <w:rFonts w:cstheme="minorHAnsi"/>
                <w:sz w:val="20"/>
                <w:szCs w:val="20"/>
              </w:rPr>
              <w:t>3</w:t>
            </w:r>
          </w:p>
        </w:tc>
        <w:tc>
          <w:tcPr>
            <w:tcW w:w="992" w:type="dxa"/>
            <w:vAlign w:val="center"/>
          </w:tcPr>
          <w:p w14:paraId="2CBB199C" w14:textId="57597254" w:rsidR="00415C65" w:rsidRPr="0083325C" w:rsidRDefault="00415C65" w:rsidP="00415C65">
            <w:pPr>
              <w:jc w:val="center"/>
              <w:rPr>
                <w:rFonts w:eastAsia="Aptos" w:cs="Aptos"/>
                <w:sz w:val="20"/>
                <w:szCs w:val="20"/>
              </w:rPr>
            </w:pPr>
            <w:r w:rsidRPr="0083325C">
              <w:rPr>
                <w:rFonts w:cstheme="minorHAnsi"/>
                <w:sz w:val="20"/>
                <w:szCs w:val="20"/>
              </w:rPr>
              <w:t>.0</w:t>
            </w:r>
            <w:r w:rsidR="000B1A49" w:rsidRPr="0083325C">
              <w:rPr>
                <w:rFonts w:cstheme="minorHAnsi"/>
                <w:sz w:val="20"/>
                <w:szCs w:val="20"/>
              </w:rPr>
              <w:t>4</w:t>
            </w:r>
          </w:p>
        </w:tc>
        <w:tc>
          <w:tcPr>
            <w:tcW w:w="1134" w:type="dxa"/>
            <w:shd w:val="clear" w:color="auto" w:fill="auto"/>
            <w:vAlign w:val="center"/>
          </w:tcPr>
          <w:p w14:paraId="20D23729" w14:textId="1D83F27C" w:rsidR="00415C65" w:rsidRPr="0083325C" w:rsidRDefault="00415C65" w:rsidP="00415C65">
            <w:pPr>
              <w:jc w:val="center"/>
              <w:rPr>
                <w:rFonts w:eastAsia="Aptos" w:cs="Aptos"/>
                <w:sz w:val="20"/>
                <w:szCs w:val="20"/>
              </w:rPr>
            </w:pPr>
            <w:r w:rsidRPr="0083325C">
              <w:rPr>
                <w:rFonts w:cstheme="minorHAnsi"/>
                <w:sz w:val="20"/>
                <w:szCs w:val="20"/>
              </w:rPr>
              <w:t>1.05</w:t>
            </w:r>
          </w:p>
        </w:tc>
        <w:tc>
          <w:tcPr>
            <w:tcW w:w="1276" w:type="dxa"/>
            <w:shd w:val="clear" w:color="auto" w:fill="auto"/>
            <w:vAlign w:val="center"/>
          </w:tcPr>
          <w:p w14:paraId="3B9AF04B" w14:textId="40065E1E" w:rsidR="00415C65" w:rsidRPr="0083325C" w:rsidRDefault="00415C65" w:rsidP="00415C65">
            <w:pPr>
              <w:jc w:val="center"/>
              <w:rPr>
                <w:rFonts w:eastAsia="Aptos" w:cs="Aptos"/>
                <w:sz w:val="20"/>
                <w:szCs w:val="20"/>
              </w:rPr>
            </w:pPr>
            <w:r w:rsidRPr="0083325C">
              <w:rPr>
                <w:rFonts w:cstheme="minorHAnsi"/>
                <w:sz w:val="20"/>
                <w:szCs w:val="20"/>
              </w:rPr>
              <w:t>0.98</w:t>
            </w:r>
            <w:r w:rsidR="00AA2C09" w:rsidRPr="0083325C">
              <w:rPr>
                <w:rFonts w:cstheme="minorHAnsi"/>
                <w:sz w:val="20"/>
                <w:szCs w:val="20"/>
              </w:rPr>
              <w:t>-1.21</w:t>
            </w:r>
          </w:p>
        </w:tc>
        <w:tc>
          <w:tcPr>
            <w:tcW w:w="851" w:type="dxa"/>
            <w:tcBorders>
              <w:left w:val="nil"/>
              <w:right w:val="nil"/>
            </w:tcBorders>
            <w:shd w:val="clear" w:color="auto" w:fill="auto"/>
            <w:vAlign w:val="center"/>
          </w:tcPr>
          <w:p w14:paraId="42014344" w14:textId="28CA05D4" w:rsidR="00415C65" w:rsidRPr="0083325C" w:rsidRDefault="00AA2C09" w:rsidP="00415C65">
            <w:pPr>
              <w:jc w:val="center"/>
              <w:rPr>
                <w:rFonts w:eastAsia="Aptos" w:cs="Aptos"/>
                <w:sz w:val="20"/>
                <w:szCs w:val="20"/>
              </w:rPr>
            </w:pPr>
            <w:r w:rsidRPr="0083325C">
              <w:rPr>
                <w:rFonts w:eastAsia="Aptos" w:cs="Aptos"/>
                <w:sz w:val="20"/>
                <w:szCs w:val="20"/>
              </w:rPr>
              <w:t>.5</w:t>
            </w:r>
            <w:r w:rsidR="009E0824" w:rsidRPr="0083325C">
              <w:rPr>
                <w:rFonts w:eastAsia="Aptos" w:cs="Aptos"/>
                <w:sz w:val="20"/>
                <w:szCs w:val="20"/>
              </w:rPr>
              <w:t>82</w:t>
            </w:r>
          </w:p>
        </w:tc>
      </w:tr>
      <w:tr w:rsidR="00415C65" w:rsidRPr="0083325C" w14:paraId="4A9B5E2C" w14:textId="77777777" w:rsidTr="00556710">
        <w:trPr>
          <w:trHeight w:val="300"/>
        </w:trPr>
        <w:tc>
          <w:tcPr>
            <w:tcW w:w="2263" w:type="dxa"/>
            <w:tcBorders>
              <w:left w:val="nil"/>
              <w:right w:val="nil"/>
            </w:tcBorders>
            <w:noWrap/>
          </w:tcPr>
          <w:p w14:paraId="19B382BA" w14:textId="586E0188" w:rsidR="00415C65" w:rsidRPr="0083325C" w:rsidRDefault="00AB3C1E" w:rsidP="00415C65">
            <w:pPr>
              <w:rPr>
                <w:rFonts w:eastAsia="Aptos" w:cs="Aptos"/>
                <w:sz w:val="20"/>
                <w:szCs w:val="20"/>
              </w:rPr>
            </w:pPr>
            <w:bookmarkStart w:id="1" w:name="_Hlk178066414"/>
            <w:r w:rsidRPr="0083325C">
              <w:rPr>
                <w:rFonts w:eastAsia="Aptos" w:cs="Aptos"/>
                <w:sz w:val="20"/>
                <w:szCs w:val="20"/>
              </w:rPr>
              <w:t>Fair opportunities for career progression</w:t>
            </w:r>
          </w:p>
        </w:tc>
        <w:tc>
          <w:tcPr>
            <w:tcW w:w="1134" w:type="dxa"/>
            <w:vAlign w:val="center"/>
          </w:tcPr>
          <w:p w14:paraId="16AAD4B1" w14:textId="5F9A9DA3" w:rsidR="00415C65" w:rsidRPr="0083325C" w:rsidRDefault="00415C65" w:rsidP="00415C65">
            <w:pPr>
              <w:jc w:val="center"/>
              <w:rPr>
                <w:rFonts w:eastAsia="Aptos" w:cs="Aptos"/>
                <w:sz w:val="20"/>
                <w:szCs w:val="20"/>
              </w:rPr>
            </w:pPr>
            <w:r w:rsidRPr="0083325C">
              <w:rPr>
                <w:rFonts w:cstheme="minorHAnsi"/>
                <w:sz w:val="20"/>
                <w:szCs w:val="20"/>
              </w:rPr>
              <w:t>1.00</w:t>
            </w:r>
          </w:p>
        </w:tc>
        <w:tc>
          <w:tcPr>
            <w:tcW w:w="1276" w:type="dxa"/>
            <w:vAlign w:val="center"/>
          </w:tcPr>
          <w:p w14:paraId="32AE49D7" w14:textId="4E27713E" w:rsidR="00415C65" w:rsidRPr="0083325C" w:rsidRDefault="00CF175C" w:rsidP="00415C65">
            <w:pPr>
              <w:jc w:val="center"/>
              <w:rPr>
                <w:rFonts w:eastAsia="Aptos" w:cs="Aptos"/>
                <w:sz w:val="20"/>
                <w:szCs w:val="20"/>
              </w:rPr>
            </w:pPr>
            <w:r w:rsidRPr="0083325C">
              <w:rPr>
                <w:rFonts w:cstheme="minorHAnsi"/>
                <w:sz w:val="20"/>
                <w:szCs w:val="20"/>
              </w:rPr>
              <w:t>0</w:t>
            </w:r>
            <w:r w:rsidR="00415C65" w:rsidRPr="0083325C">
              <w:rPr>
                <w:rFonts w:cstheme="minorHAnsi"/>
                <w:sz w:val="20"/>
                <w:szCs w:val="20"/>
              </w:rPr>
              <w:t>.9</w:t>
            </w:r>
            <w:r w:rsidR="00D47EFB" w:rsidRPr="0083325C">
              <w:rPr>
                <w:rFonts w:cstheme="minorHAnsi"/>
                <w:sz w:val="20"/>
                <w:szCs w:val="20"/>
              </w:rPr>
              <w:t>1</w:t>
            </w:r>
            <w:r w:rsidR="00415C65" w:rsidRPr="0083325C">
              <w:rPr>
                <w:rFonts w:cstheme="minorHAnsi"/>
                <w:sz w:val="20"/>
                <w:szCs w:val="20"/>
              </w:rPr>
              <w:t>-1.0</w:t>
            </w:r>
            <w:r w:rsidR="00D47EFB" w:rsidRPr="0083325C">
              <w:rPr>
                <w:rFonts w:cstheme="minorHAnsi"/>
                <w:sz w:val="20"/>
                <w:szCs w:val="20"/>
              </w:rPr>
              <w:t>3</w:t>
            </w:r>
          </w:p>
        </w:tc>
        <w:tc>
          <w:tcPr>
            <w:tcW w:w="992" w:type="dxa"/>
            <w:vAlign w:val="center"/>
          </w:tcPr>
          <w:p w14:paraId="63539824" w14:textId="776465A9" w:rsidR="00415C65" w:rsidRPr="0083325C" w:rsidRDefault="00415C65" w:rsidP="00415C65">
            <w:pPr>
              <w:jc w:val="center"/>
              <w:rPr>
                <w:rFonts w:eastAsia="Aptos" w:cs="Aptos"/>
                <w:sz w:val="20"/>
                <w:szCs w:val="20"/>
              </w:rPr>
            </w:pPr>
            <w:r w:rsidRPr="0083325C">
              <w:rPr>
                <w:rFonts w:cstheme="minorHAnsi"/>
                <w:sz w:val="20"/>
                <w:szCs w:val="20"/>
              </w:rPr>
              <w:t>.951</w:t>
            </w:r>
          </w:p>
        </w:tc>
        <w:tc>
          <w:tcPr>
            <w:tcW w:w="1134" w:type="dxa"/>
            <w:shd w:val="clear" w:color="auto" w:fill="auto"/>
            <w:vAlign w:val="center"/>
          </w:tcPr>
          <w:p w14:paraId="19009185" w14:textId="6D13E089" w:rsidR="00415C65" w:rsidRPr="0083325C" w:rsidRDefault="00415C65" w:rsidP="00415C65">
            <w:pPr>
              <w:jc w:val="center"/>
              <w:rPr>
                <w:rFonts w:eastAsia="Aptos" w:cs="Aptos"/>
                <w:sz w:val="20"/>
                <w:szCs w:val="20"/>
              </w:rPr>
            </w:pPr>
            <w:r w:rsidRPr="0083325C">
              <w:rPr>
                <w:rFonts w:cstheme="minorHAnsi"/>
                <w:sz w:val="20"/>
                <w:szCs w:val="20"/>
              </w:rPr>
              <w:t>0.99</w:t>
            </w:r>
          </w:p>
        </w:tc>
        <w:tc>
          <w:tcPr>
            <w:tcW w:w="1276" w:type="dxa"/>
            <w:shd w:val="clear" w:color="auto" w:fill="auto"/>
            <w:vAlign w:val="center"/>
          </w:tcPr>
          <w:p w14:paraId="45DB5922" w14:textId="398EA750" w:rsidR="00415C65" w:rsidRPr="0083325C" w:rsidRDefault="00415C65" w:rsidP="00415C65">
            <w:pPr>
              <w:jc w:val="center"/>
              <w:rPr>
                <w:rFonts w:eastAsia="Aptos" w:cs="Aptos"/>
                <w:sz w:val="20"/>
                <w:szCs w:val="20"/>
              </w:rPr>
            </w:pPr>
            <w:r w:rsidRPr="0083325C">
              <w:rPr>
                <w:rFonts w:cstheme="minorHAnsi"/>
                <w:sz w:val="20"/>
                <w:szCs w:val="20"/>
              </w:rPr>
              <w:t>0.9</w:t>
            </w:r>
            <w:r w:rsidR="00995FC6" w:rsidRPr="0083325C">
              <w:rPr>
                <w:rFonts w:cstheme="minorHAnsi"/>
                <w:sz w:val="20"/>
                <w:szCs w:val="20"/>
              </w:rPr>
              <w:t>7</w:t>
            </w:r>
            <w:r w:rsidR="00AA2C09" w:rsidRPr="0083325C">
              <w:rPr>
                <w:rFonts w:cstheme="minorHAnsi"/>
                <w:sz w:val="20"/>
                <w:szCs w:val="20"/>
              </w:rPr>
              <w:t>-1.0</w:t>
            </w:r>
            <w:r w:rsidR="00995FC6" w:rsidRPr="0083325C">
              <w:rPr>
                <w:rFonts w:cstheme="minorHAnsi"/>
                <w:sz w:val="20"/>
                <w:szCs w:val="20"/>
              </w:rPr>
              <w:t>2</w:t>
            </w:r>
          </w:p>
        </w:tc>
        <w:tc>
          <w:tcPr>
            <w:tcW w:w="851" w:type="dxa"/>
            <w:tcBorders>
              <w:left w:val="nil"/>
              <w:right w:val="nil"/>
            </w:tcBorders>
            <w:shd w:val="clear" w:color="auto" w:fill="auto"/>
            <w:vAlign w:val="center"/>
          </w:tcPr>
          <w:p w14:paraId="0AF74193" w14:textId="108F587B" w:rsidR="00415C65" w:rsidRPr="0083325C" w:rsidRDefault="00415C65" w:rsidP="00415C65">
            <w:pPr>
              <w:jc w:val="center"/>
              <w:rPr>
                <w:rFonts w:eastAsia="Aptos" w:cs="Aptos"/>
                <w:sz w:val="20"/>
                <w:szCs w:val="20"/>
              </w:rPr>
            </w:pPr>
            <w:r w:rsidRPr="0083325C">
              <w:rPr>
                <w:rFonts w:eastAsia="Aptos" w:cs="Aptos"/>
                <w:sz w:val="20"/>
                <w:szCs w:val="20"/>
              </w:rPr>
              <w:t>.</w:t>
            </w:r>
            <w:r w:rsidR="009E0824" w:rsidRPr="0083325C">
              <w:rPr>
                <w:rFonts w:eastAsia="Aptos" w:cs="Aptos"/>
                <w:sz w:val="20"/>
                <w:szCs w:val="20"/>
              </w:rPr>
              <w:t>689</w:t>
            </w:r>
          </w:p>
        </w:tc>
      </w:tr>
      <w:tr w:rsidR="00415C65" w:rsidRPr="0083325C" w14:paraId="369747F3" w14:textId="77777777" w:rsidTr="00556710">
        <w:trPr>
          <w:trHeight w:val="300"/>
        </w:trPr>
        <w:tc>
          <w:tcPr>
            <w:tcW w:w="2263" w:type="dxa"/>
            <w:tcBorders>
              <w:left w:val="nil"/>
              <w:right w:val="nil"/>
            </w:tcBorders>
            <w:noWrap/>
          </w:tcPr>
          <w:p w14:paraId="4578998C" w14:textId="4670C23F" w:rsidR="00415C65" w:rsidRPr="0083325C" w:rsidRDefault="00F6538D" w:rsidP="00415C65">
            <w:pPr>
              <w:rPr>
                <w:rFonts w:eastAsia="Aptos" w:cs="Aptos"/>
                <w:sz w:val="20"/>
                <w:szCs w:val="20"/>
              </w:rPr>
            </w:pPr>
            <w:bookmarkStart w:id="2" w:name="_Hlk178067056"/>
            <w:bookmarkEnd w:id="1"/>
            <w:r w:rsidRPr="0083325C">
              <w:rPr>
                <w:rFonts w:eastAsia="Aptos" w:cs="Aptos"/>
                <w:sz w:val="20"/>
                <w:szCs w:val="20"/>
              </w:rPr>
              <w:t>Satisfaction with pay</w:t>
            </w:r>
            <w:bookmarkEnd w:id="2"/>
          </w:p>
        </w:tc>
        <w:tc>
          <w:tcPr>
            <w:tcW w:w="1134" w:type="dxa"/>
            <w:vAlign w:val="center"/>
          </w:tcPr>
          <w:p w14:paraId="3EA7685A" w14:textId="74C1936D" w:rsidR="00415C65" w:rsidRPr="0083325C" w:rsidRDefault="00415C65" w:rsidP="00415C65">
            <w:pPr>
              <w:jc w:val="center"/>
              <w:rPr>
                <w:rFonts w:eastAsia="Aptos" w:cs="Aptos"/>
                <w:sz w:val="20"/>
                <w:szCs w:val="20"/>
              </w:rPr>
            </w:pPr>
            <w:r w:rsidRPr="0083325C">
              <w:rPr>
                <w:rFonts w:cstheme="minorHAnsi"/>
                <w:sz w:val="20"/>
                <w:szCs w:val="20"/>
              </w:rPr>
              <w:t>0.98</w:t>
            </w:r>
          </w:p>
        </w:tc>
        <w:tc>
          <w:tcPr>
            <w:tcW w:w="1276" w:type="dxa"/>
            <w:vAlign w:val="center"/>
          </w:tcPr>
          <w:p w14:paraId="375B0C07" w14:textId="1785A5F1" w:rsidR="00415C65" w:rsidRPr="0083325C" w:rsidRDefault="00415C65" w:rsidP="00415C65">
            <w:pPr>
              <w:jc w:val="center"/>
              <w:rPr>
                <w:rFonts w:eastAsia="Aptos" w:cs="Aptos"/>
                <w:sz w:val="20"/>
                <w:szCs w:val="20"/>
              </w:rPr>
            </w:pPr>
            <w:r w:rsidRPr="0083325C">
              <w:rPr>
                <w:rFonts w:cstheme="minorHAnsi"/>
                <w:sz w:val="20"/>
                <w:szCs w:val="20"/>
              </w:rPr>
              <w:t>0.9</w:t>
            </w:r>
            <w:r w:rsidR="00CF175C" w:rsidRPr="0083325C">
              <w:rPr>
                <w:rFonts w:cstheme="minorHAnsi"/>
                <w:sz w:val="20"/>
                <w:szCs w:val="20"/>
              </w:rPr>
              <w:t>7</w:t>
            </w:r>
            <w:r w:rsidRPr="0083325C">
              <w:rPr>
                <w:rFonts w:cstheme="minorHAnsi"/>
                <w:sz w:val="20"/>
                <w:szCs w:val="20"/>
              </w:rPr>
              <w:t>-0.99</w:t>
            </w:r>
          </w:p>
        </w:tc>
        <w:tc>
          <w:tcPr>
            <w:tcW w:w="992" w:type="dxa"/>
            <w:vAlign w:val="center"/>
          </w:tcPr>
          <w:p w14:paraId="3AE93F63" w14:textId="7D3BBA3B" w:rsidR="00415C65" w:rsidRPr="0083325C" w:rsidRDefault="00415C65" w:rsidP="00415C65">
            <w:pPr>
              <w:jc w:val="center"/>
              <w:rPr>
                <w:rFonts w:eastAsia="Aptos" w:cs="Aptos"/>
                <w:sz w:val="20"/>
                <w:szCs w:val="20"/>
              </w:rPr>
            </w:pPr>
            <w:r w:rsidRPr="0083325C">
              <w:rPr>
                <w:rFonts w:cstheme="minorHAnsi"/>
                <w:sz w:val="20"/>
                <w:szCs w:val="20"/>
              </w:rPr>
              <w:t>.039</w:t>
            </w:r>
          </w:p>
        </w:tc>
        <w:tc>
          <w:tcPr>
            <w:tcW w:w="1134" w:type="dxa"/>
            <w:vAlign w:val="center"/>
          </w:tcPr>
          <w:p w14:paraId="21318073" w14:textId="3F200628" w:rsidR="00415C65" w:rsidRPr="0083325C" w:rsidRDefault="00415C65" w:rsidP="008C4AA7">
            <w:pPr>
              <w:jc w:val="center"/>
              <w:rPr>
                <w:rFonts w:eastAsia="Aptos" w:cs="Aptos"/>
                <w:sz w:val="20"/>
                <w:szCs w:val="20"/>
              </w:rPr>
            </w:pPr>
            <w:r w:rsidRPr="0083325C">
              <w:rPr>
                <w:rFonts w:cstheme="minorHAnsi"/>
                <w:sz w:val="20"/>
                <w:szCs w:val="20"/>
              </w:rPr>
              <w:t>0.9</w:t>
            </w:r>
            <w:r w:rsidR="005D3709" w:rsidRPr="0083325C">
              <w:rPr>
                <w:rFonts w:cstheme="minorHAnsi"/>
                <w:sz w:val="20"/>
                <w:szCs w:val="20"/>
              </w:rPr>
              <w:t>2</w:t>
            </w:r>
          </w:p>
        </w:tc>
        <w:tc>
          <w:tcPr>
            <w:tcW w:w="1276" w:type="dxa"/>
            <w:shd w:val="clear" w:color="auto" w:fill="auto"/>
            <w:vAlign w:val="center"/>
          </w:tcPr>
          <w:p w14:paraId="03197A32" w14:textId="3FAE8C99" w:rsidR="00415C65" w:rsidRPr="0083325C" w:rsidRDefault="00415C65" w:rsidP="00415C65">
            <w:pPr>
              <w:jc w:val="center"/>
              <w:rPr>
                <w:rFonts w:eastAsia="Aptos" w:cs="Aptos"/>
                <w:sz w:val="20"/>
                <w:szCs w:val="20"/>
              </w:rPr>
            </w:pPr>
            <w:r w:rsidRPr="0083325C">
              <w:rPr>
                <w:rFonts w:cstheme="minorHAnsi"/>
                <w:sz w:val="20"/>
                <w:szCs w:val="20"/>
              </w:rPr>
              <w:t>0.9</w:t>
            </w:r>
            <w:r w:rsidR="005D3709" w:rsidRPr="0083325C">
              <w:rPr>
                <w:rFonts w:cstheme="minorHAnsi"/>
                <w:sz w:val="20"/>
                <w:szCs w:val="20"/>
              </w:rPr>
              <w:t>0</w:t>
            </w:r>
            <w:r w:rsidR="00AA2C09" w:rsidRPr="0083325C">
              <w:rPr>
                <w:rFonts w:cstheme="minorHAnsi"/>
                <w:sz w:val="20"/>
                <w:szCs w:val="20"/>
              </w:rPr>
              <w:t>-0.9</w:t>
            </w:r>
            <w:r w:rsidR="00FB6EBC" w:rsidRPr="0083325C">
              <w:rPr>
                <w:rFonts w:cstheme="minorHAnsi"/>
                <w:sz w:val="20"/>
                <w:szCs w:val="20"/>
              </w:rPr>
              <w:t>4</w:t>
            </w:r>
          </w:p>
        </w:tc>
        <w:tc>
          <w:tcPr>
            <w:tcW w:w="851" w:type="dxa"/>
            <w:tcBorders>
              <w:left w:val="nil"/>
              <w:right w:val="nil"/>
            </w:tcBorders>
            <w:shd w:val="clear" w:color="auto" w:fill="auto"/>
            <w:vAlign w:val="center"/>
          </w:tcPr>
          <w:p w14:paraId="03718F68" w14:textId="77777777" w:rsidR="00415C65" w:rsidRPr="0083325C" w:rsidRDefault="00415C65" w:rsidP="00415C65">
            <w:pPr>
              <w:jc w:val="center"/>
              <w:rPr>
                <w:rFonts w:eastAsia="Aptos" w:cs="Aptos"/>
                <w:sz w:val="20"/>
                <w:szCs w:val="20"/>
              </w:rPr>
            </w:pPr>
            <w:r w:rsidRPr="0083325C">
              <w:rPr>
                <w:rFonts w:eastAsia="Aptos" w:cs="Aptos"/>
                <w:sz w:val="20"/>
                <w:szCs w:val="20"/>
              </w:rPr>
              <w:t>.001</w:t>
            </w:r>
          </w:p>
        </w:tc>
      </w:tr>
      <w:tr w:rsidR="00415C65" w:rsidRPr="0083325C" w14:paraId="43D0041D" w14:textId="77777777" w:rsidTr="00556710">
        <w:trPr>
          <w:trHeight w:val="300"/>
        </w:trPr>
        <w:tc>
          <w:tcPr>
            <w:tcW w:w="2263" w:type="dxa"/>
            <w:tcBorders>
              <w:left w:val="nil"/>
              <w:bottom w:val="single" w:sz="4" w:space="0" w:color="auto"/>
              <w:right w:val="nil"/>
            </w:tcBorders>
            <w:noWrap/>
          </w:tcPr>
          <w:p w14:paraId="64B00477" w14:textId="1AD44851" w:rsidR="00415C65" w:rsidRPr="0083325C" w:rsidRDefault="009E7A88" w:rsidP="00415C65">
            <w:pPr>
              <w:rPr>
                <w:rFonts w:eastAsia="Aptos" w:cs="Aptos"/>
                <w:sz w:val="20"/>
                <w:szCs w:val="20"/>
              </w:rPr>
            </w:pPr>
            <w:r w:rsidRPr="0083325C">
              <w:rPr>
                <w:rFonts w:eastAsia="Aptos" w:cs="Aptos"/>
                <w:sz w:val="20"/>
                <w:szCs w:val="20"/>
              </w:rPr>
              <w:t xml:space="preserve">Having supporting </w:t>
            </w:r>
            <w:r w:rsidR="00C678C9" w:rsidRPr="0083325C">
              <w:rPr>
                <w:rFonts w:eastAsia="Aptos" w:cs="Aptos"/>
                <w:sz w:val="20"/>
                <w:szCs w:val="20"/>
              </w:rPr>
              <w:t>colleagues</w:t>
            </w:r>
          </w:p>
        </w:tc>
        <w:tc>
          <w:tcPr>
            <w:tcW w:w="1134" w:type="dxa"/>
            <w:vAlign w:val="center"/>
          </w:tcPr>
          <w:p w14:paraId="4FA839EC" w14:textId="63419582" w:rsidR="00415C65" w:rsidRPr="0083325C" w:rsidRDefault="00415C65" w:rsidP="00415C65">
            <w:pPr>
              <w:jc w:val="center"/>
              <w:rPr>
                <w:rFonts w:eastAsia="Aptos" w:cs="Aptos"/>
                <w:sz w:val="20"/>
                <w:szCs w:val="20"/>
              </w:rPr>
            </w:pPr>
            <w:r w:rsidRPr="0083325C">
              <w:rPr>
                <w:rFonts w:cstheme="minorHAnsi"/>
                <w:sz w:val="20"/>
                <w:szCs w:val="20"/>
              </w:rPr>
              <w:t>1.02</w:t>
            </w:r>
          </w:p>
        </w:tc>
        <w:tc>
          <w:tcPr>
            <w:tcW w:w="1276" w:type="dxa"/>
            <w:vAlign w:val="center"/>
          </w:tcPr>
          <w:p w14:paraId="03C2F3C5" w14:textId="00C6BCB1" w:rsidR="00415C65" w:rsidRPr="0083325C" w:rsidRDefault="00415C65" w:rsidP="00415C65">
            <w:pPr>
              <w:jc w:val="center"/>
              <w:rPr>
                <w:rFonts w:eastAsia="Aptos" w:cs="Aptos"/>
                <w:sz w:val="20"/>
                <w:szCs w:val="20"/>
              </w:rPr>
            </w:pPr>
            <w:bookmarkStart w:id="3" w:name="_Hlk178152426"/>
            <w:r w:rsidRPr="0083325C">
              <w:rPr>
                <w:rFonts w:cstheme="minorHAnsi"/>
                <w:sz w:val="20"/>
                <w:szCs w:val="20"/>
              </w:rPr>
              <w:t>0.99-1.05</w:t>
            </w:r>
            <w:bookmarkEnd w:id="3"/>
          </w:p>
        </w:tc>
        <w:tc>
          <w:tcPr>
            <w:tcW w:w="992" w:type="dxa"/>
            <w:vAlign w:val="center"/>
          </w:tcPr>
          <w:p w14:paraId="690E88A8" w14:textId="2153B896" w:rsidR="00415C65" w:rsidRPr="0083325C" w:rsidRDefault="00415C65" w:rsidP="00415C65">
            <w:pPr>
              <w:jc w:val="center"/>
              <w:rPr>
                <w:rFonts w:eastAsia="Aptos" w:cs="Aptos"/>
                <w:sz w:val="20"/>
                <w:szCs w:val="20"/>
              </w:rPr>
            </w:pPr>
            <w:r w:rsidRPr="0083325C">
              <w:rPr>
                <w:rFonts w:cstheme="minorHAnsi"/>
                <w:sz w:val="20"/>
                <w:szCs w:val="20"/>
              </w:rPr>
              <w:t>.15</w:t>
            </w:r>
          </w:p>
        </w:tc>
        <w:tc>
          <w:tcPr>
            <w:tcW w:w="1134" w:type="dxa"/>
            <w:vAlign w:val="center"/>
          </w:tcPr>
          <w:p w14:paraId="6D9D88CB" w14:textId="0798E1EC" w:rsidR="00415C65" w:rsidRPr="0083325C" w:rsidRDefault="000048BC" w:rsidP="00415C65">
            <w:pPr>
              <w:jc w:val="center"/>
              <w:rPr>
                <w:rFonts w:eastAsia="Aptos" w:cs="Aptos"/>
                <w:sz w:val="20"/>
                <w:szCs w:val="20"/>
              </w:rPr>
            </w:pPr>
            <w:r w:rsidRPr="0083325C">
              <w:rPr>
                <w:rFonts w:cstheme="minorHAnsi"/>
                <w:sz w:val="20"/>
                <w:szCs w:val="20"/>
              </w:rPr>
              <w:t>0.92</w:t>
            </w:r>
          </w:p>
        </w:tc>
        <w:tc>
          <w:tcPr>
            <w:tcW w:w="1276" w:type="dxa"/>
            <w:shd w:val="clear" w:color="auto" w:fill="auto"/>
            <w:vAlign w:val="center"/>
          </w:tcPr>
          <w:p w14:paraId="4F95C5F0" w14:textId="5510DE70" w:rsidR="00415C65" w:rsidRPr="0083325C" w:rsidRDefault="00075796" w:rsidP="00415C65">
            <w:pPr>
              <w:jc w:val="center"/>
              <w:rPr>
                <w:rFonts w:eastAsia="Aptos" w:cs="Aptos"/>
                <w:sz w:val="20"/>
                <w:szCs w:val="20"/>
              </w:rPr>
            </w:pPr>
            <w:bookmarkStart w:id="4" w:name="_Hlk178152533"/>
            <w:r w:rsidRPr="0083325C">
              <w:rPr>
                <w:rFonts w:cstheme="minorHAnsi"/>
                <w:sz w:val="20"/>
                <w:szCs w:val="20"/>
              </w:rPr>
              <w:t>0.89</w:t>
            </w:r>
            <w:r w:rsidR="00AA2C09" w:rsidRPr="0083325C">
              <w:rPr>
                <w:rFonts w:cstheme="minorHAnsi"/>
                <w:sz w:val="20"/>
                <w:szCs w:val="20"/>
              </w:rPr>
              <w:t>-</w:t>
            </w:r>
            <w:r w:rsidR="00E23892" w:rsidRPr="0083325C">
              <w:rPr>
                <w:rFonts w:cstheme="minorHAnsi"/>
                <w:sz w:val="20"/>
                <w:szCs w:val="20"/>
              </w:rPr>
              <w:t>0.94</w:t>
            </w:r>
            <w:bookmarkEnd w:id="4"/>
          </w:p>
        </w:tc>
        <w:tc>
          <w:tcPr>
            <w:tcW w:w="851" w:type="dxa"/>
            <w:tcBorders>
              <w:left w:val="nil"/>
              <w:bottom w:val="single" w:sz="4" w:space="0" w:color="auto"/>
              <w:right w:val="nil"/>
            </w:tcBorders>
            <w:shd w:val="clear" w:color="auto" w:fill="auto"/>
            <w:vAlign w:val="center"/>
          </w:tcPr>
          <w:p w14:paraId="3FD75B22" w14:textId="77354BE6" w:rsidR="00415C65" w:rsidRPr="0083325C" w:rsidRDefault="00415C65" w:rsidP="00415C65">
            <w:pPr>
              <w:jc w:val="center"/>
              <w:rPr>
                <w:rFonts w:eastAsia="Aptos" w:cs="Aptos"/>
                <w:sz w:val="20"/>
                <w:szCs w:val="20"/>
              </w:rPr>
            </w:pPr>
            <w:r w:rsidRPr="0083325C">
              <w:rPr>
                <w:rFonts w:eastAsia="Aptos" w:cs="Aptos"/>
                <w:sz w:val="20"/>
                <w:szCs w:val="20"/>
              </w:rPr>
              <w:t>.</w:t>
            </w:r>
            <w:r w:rsidR="00E23892" w:rsidRPr="0083325C">
              <w:rPr>
                <w:rFonts w:eastAsia="Aptos" w:cs="Aptos"/>
                <w:sz w:val="20"/>
                <w:szCs w:val="20"/>
              </w:rPr>
              <w:t>000</w:t>
            </w:r>
          </w:p>
        </w:tc>
      </w:tr>
      <w:tr w:rsidR="00D75B9A" w:rsidRPr="0083325C" w14:paraId="4A4FCB15" w14:textId="77777777" w:rsidTr="00396669">
        <w:trPr>
          <w:trHeight w:val="300"/>
        </w:trPr>
        <w:tc>
          <w:tcPr>
            <w:tcW w:w="8926" w:type="dxa"/>
            <w:gridSpan w:val="7"/>
            <w:tcBorders>
              <w:left w:val="nil"/>
              <w:right w:val="nil"/>
            </w:tcBorders>
            <w:noWrap/>
          </w:tcPr>
          <w:p w14:paraId="1E3AA16E" w14:textId="65EAE513" w:rsidR="00D75B9A" w:rsidRPr="0083325C" w:rsidRDefault="00D75B9A" w:rsidP="00D75B9A">
            <w:pPr>
              <w:rPr>
                <w:rFonts w:eastAsia="Aptos" w:cs="Aptos"/>
                <w:b/>
                <w:bCs/>
                <w:sz w:val="20"/>
                <w:szCs w:val="20"/>
              </w:rPr>
            </w:pPr>
            <w:r w:rsidRPr="0083325C">
              <w:rPr>
                <w:rFonts w:eastAsia="Aptos" w:cs="Aptos"/>
                <w:b/>
                <w:bCs/>
                <w:sz w:val="20"/>
                <w:szCs w:val="20"/>
              </w:rPr>
              <w:t xml:space="preserve">* </w:t>
            </w:r>
            <w:r w:rsidRPr="0083325C">
              <w:rPr>
                <w:rFonts w:eastAsia="Aptos" w:cs="Aptos"/>
                <w:sz w:val="20"/>
                <w:szCs w:val="20"/>
              </w:rPr>
              <w:t xml:space="preserve">Adjusted for </w:t>
            </w:r>
            <w:r w:rsidR="00190A54" w:rsidRPr="0083325C">
              <w:rPr>
                <w:rFonts w:eastAsia="Aptos" w:cs="Aptos"/>
                <w:sz w:val="20"/>
                <w:szCs w:val="20"/>
              </w:rPr>
              <w:t>age, gender, disabilities (y/n), number of co-morbi</w:t>
            </w:r>
            <w:r w:rsidR="00F7137D" w:rsidRPr="0083325C">
              <w:rPr>
                <w:rFonts w:eastAsia="Aptos" w:cs="Aptos"/>
                <w:sz w:val="20"/>
                <w:szCs w:val="20"/>
              </w:rPr>
              <w:t>di</w:t>
            </w:r>
            <w:r w:rsidR="00190A54" w:rsidRPr="0083325C">
              <w:rPr>
                <w:rFonts w:eastAsia="Aptos" w:cs="Aptos"/>
                <w:sz w:val="20"/>
                <w:szCs w:val="20"/>
              </w:rPr>
              <w:t>ties</w:t>
            </w:r>
          </w:p>
        </w:tc>
      </w:tr>
    </w:tbl>
    <w:p w14:paraId="64DE8FCB" w14:textId="77777777" w:rsidR="00DD57CF" w:rsidRPr="0083325C" w:rsidRDefault="00DD57CF"/>
    <w:p w14:paraId="5EE96C65" w14:textId="52C6B9F2" w:rsidR="00356E41" w:rsidRPr="0083325C" w:rsidRDefault="00356E41" w:rsidP="00356E41">
      <w:pPr>
        <w:rPr>
          <w:b/>
          <w:bCs/>
        </w:rPr>
      </w:pPr>
      <w:r w:rsidRPr="0083325C">
        <w:rPr>
          <w:b/>
          <w:bCs/>
        </w:rPr>
        <w:t>Questions:</w:t>
      </w:r>
    </w:p>
    <w:p w14:paraId="628984BE" w14:textId="508CCA12" w:rsidR="00F33C07" w:rsidRPr="0083325C" w:rsidRDefault="00F33C07" w:rsidP="00F33C07">
      <w:pPr>
        <w:pStyle w:val="ListParagraph"/>
        <w:numPr>
          <w:ilvl w:val="0"/>
          <w:numId w:val="5"/>
        </w:numPr>
      </w:pPr>
      <w:r w:rsidRPr="0083325C">
        <w:t xml:space="preserve">Focus on the variable </w:t>
      </w:r>
      <w:r w:rsidR="00742E48" w:rsidRPr="0083325C">
        <w:t>“having a younger line manager”</w:t>
      </w:r>
    </w:p>
    <w:p w14:paraId="226705BC" w14:textId="015CCE35" w:rsidR="00742E48" w:rsidRPr="0083325C" w:rsidRDefault="00742E48" w:rsidP="00742E48">
      <w:pPr>
        <w:pStyle w:val="ListParagraph"/>
        <w:numPr>
          <w:ilvl w:val="1"/>
          <w:numId w:val="5"/>
        </w:numPr>
      </w:pPr>
      <w:r w:rsidRPr="0083325C">
        <w:t>Looking at the unadjusted</w:t>
      </w:r>
      <w:r w:rsidR="00ED379D" w:rsidRPr="0083325C">
        <w:t xml:space="preserve"> Odds Ratio, how do you interpret it?</w:t>
      </w:r>
    </w:p>
    <w:p w14:paraId="4C4A0EB5" w14:textId="16BFB950" w:rsidR="00ED379D" w:rsidRPr="0083325C" w:rsidRDefault="00ED379D" w:rsidP="00742E48">
      <w:pPr>
        <w:pStyle w:val="ListParagraph"/>
        <w:numPr>
          <w:ilvl w:val="1"/>
          <w:numId w:val="5"/>
        </w:numPr>
      </w:pPr>
      <w:r w:rsidRPr="0083325C">
        <w:t>How do you interpret the confidence interval of the unadjusted OR?</w:t>
      </w:r>
    </w:p>
    <w:p w14:paraId="101F653A" w14:textId="629014C7" w:rsidR="00ED379D" w:rsidRPr="0083325C" w:rsidRDefault="00D92991" w:rsidP="00742E48">
      <w:pPr>
        <w:pStyle w:val="ListParagraph"/>
        <w:numPr>
          <w:ilvl w:val="1"/>
          <w:numId w:val="5"/>
        </w:numPr>
      </w:pPr>
      <w:r w:rsidRPr="0083325C">
        <w:t xml:space="preserve">How do you interpret the adjusted Odds Ratio? </w:t>
      </w:r>
    </w:p>
    <w:p w14:paraId="02171F50" w14:textId="64479AEE" w:rsidR="00D92991" w:rsidRPr="0083325C" w:rsidRDefault="00D92991" w:rsidP="00742E48">
      <w:pPr>
        <w:pStyle w:val="ListParagraph"/>
        <w:numPr>
          <w:ilvl w:val="1"/>
          <w:numId w:val="5"/>
        </w:numPr>
      </w:pPr>
      <w:r w:rsidRPr="0083325C">
        <w:t>How do you interpret the confidence interval of the adjusted OR?</w:t>
      </w:r>
    </w:p>
    <w:p w14:paraId="311FD848" w14:textId="626E5659" w:rsidR="00D92991" w:rsidRPr="0083325C" w:rsidRDefault="009A0B8B" w:rsidP="00742E48">
      <w:pPr>
        <w:pStyle w:val="ListParagraph"/>
        <w:numPr>
          <w:ilvl w:val="1"/>
          <w:numId w:val="5"/>
        </w:numPr>
      </w:pPr>
      <w:r w:rsidRPr="0083325C">
        <w:t>Has the association changed when adjusting for control variables</w:t>
      </w:r>
      <w:r w:rsidR="005D099B" w:rsidRPr="0083325C">
        <w:t xml:space="preserve"> and how</w:t>
      </w:r>
      <w:r w:rsidRPr="0083325C">
        <w:t>?</w:t>
      </w:r>
    </w:p>
    <w:p w14:paraId="42687688" w14:textId="4DE98F52" w:rsidR="005D099B" w:rsidRPr="0083325C" w:rsidRDefault="005D099B" w:rsidP="00742E48">
      <w:pPr>
        <w:pStyle w:val="ListParagraph"/>
        <w:numPr>
          <w:ilvl w:val="1"/>
          <w:numId w:val="5"/>
        </w:numPr>
      </w:pPr>
      <w:r w:rsidRPr="0083325C">
        <w:t xml:space="preserve">What </w:t>
      </w:r>
      <w:r w:rsidR="0059768E" w:rsidRPr="0083325C">
        <w:t>do you think could have explained the change (if any change present)?</w:t>
      </w:r>
    </w:p>
    <w:p w14:paraId="3A5A48B2" w14:textId="0CCD18C2" w:rsidR="0059768E" w:rsidRPr="0083325C" w:rsidRDefault="0059768E" w:rsidP="0059768E">
      <w:pPr>
        <w:pStyle w:val="ListParagraph"/>
        <w:numPr>
          <w:ilvl w:val="0"/>
          <w:numId w:val="5"/>
        </w:numPr>
      </w:pPr>
      <w:r w:rsidRPr="0083325C">
        <w:t>Focus on the variable “fair opportunities for career progression”</w:t>
      </w:r>
    </w:p>
    <w:p w14:paraId="34A3B240" w14:textId="77777777" w:rsidR="0059768E" w:rsidRPr="0083325C" w:rsidRDefault="0059768E" w:rsidP="0059768E">
      <w:pPr>
        <w:pStyle w:val="ListParagraph"/>
        <w:numPr>
          <w:ilvl w:val="1"/>
          <w:numId w:val="5"/>
        </w:numPr>
      </w:pPr>
      <w:r w:rsidRPr="0083325C">
        <w:t>Looking at the unadjusted Odds Ratio, how do you interpret it?</w:t>
      </w:r>
    </w:p>
    <w:p w14:paraId="06FA1613" w14:textId="77777777" w:rsidR="0059768E" w:rsidRPr="0083325C" w:rsidRDefault="0059768E" w:rsidP="0059768E">
      <w:pPr>
        <w:pStyle w:val="ListParagraph"/>
        <w:numPr>
          <w:ilvl w:val="1"/>
          <w:numId w:val="5"/>
        </w:numPr>
      </w:pPr>
      <w:r w:rsidRPr="0083325C">
        <w:t>How do you interpret the confidence interval of the unadjusted OR?</w:t>
      </w:r>
    </w:p>
    <w:p w14:paraId="432D7BB1" w14:textId="77777777" w:rsidR="0059768E" w:rsidRPr="0083325C" w:rsidRDefault="0059768E" w:rsidP="0059768E">
      <w:pPr>
        <w:pStyle w:val="ListParagraph"/>
        <w:numPr>
          <w:ilvl w:val="1"/>
          <w:numId w:val="5"/>
        </w:numPr>
      </w:pPr>
      <w:r w:rsidRPr="0083325C">
        <w:t xml:space="preserve">How do you interpret the adjusted Odds Ratio? </w:t>
      </w:r>
    </w:p>
    <w:p w14:paraId="42EF1642" w14:textId="77777777" w:rsidR="0059768E" w:rsidRPr="0083325C" w:rsidRDefault="0059768E" w:rsidP="0059768E">
      <w:pPr>
        <w:pStyle w:val="ListParagraph"/>
        <w:numPr>
          <w:ilvl w:val="1"/>
          <w:numId w:val="5"/>
        </w:numPr>
      </w:pPr>
      <w:r w:rsidRPr="0083325C">
        <w:t>How do you interpret the confidence interval of the adjusted OR?</w:t>
      </w:r>
    </w:p>
    <w:p w14:paraId="6935BD76" w14:textId="77777777" w:rsidR="0059768E" w:rsidRPr="0083325C" w:rsidRDefault="0059768E" w:rsidP="0059768E">
      <w:pPr>
        <w:pStyle w:val="ListParagraph"/>
        <w:numPr>
          <w:ilvl w:val="1"/>
          <w:numId w:val="5"/>
        </w:numPr>
      </w:pPr>
      <w:r w:rsidRPr="0083325C">
        <w:t>Has the association changed when adjusting for control variables and how?</w:t>
      </w:r>
    </w:p>
    <w:p w14:paraId="4DB24FC0" w14:textId="77777777" w:rsidR="0059768E" w:rsidRPr="0083325C" w:rsidRDefault="0059768E" w:rsidP="0059768E">
      <w:pPr>
        <w:pStyle w:val="ListParagraph"/>
        <w:numPr>
          <w:ilvl w:val="1"/>
          <w:numId w:val="5"/>
        </w:numPr>
      </w:pPr>
      <w:r w:rsidRPr="0083325C">
        <w:t>What do you think could have explained the change (if any change present)?</w:t>
      </w:r>
    </w:p>
    <w:p w14:paraId="0723592E" w14:textId="2A2FBF3C" w:rsidR="0059768E" w:rsidRPr="0083325C" w:rsidRDefault="0059768E" w:rsidP="0059768E">
      <w:pPr>
        <w:pStyle w:val="ListParagraph"/>
        <w:numPr>
          <w:ilvl w:val="0"/>
          <w:numId w:val="5"/>
        </w:numPr>
      </w:pPr>
      <w:r w:rsidRPr="0083325C">
        <w:t>Focus on the variable “satisfaction with pay”</w:t>
      </w:r>
    </w:p>
    <w:p w14:paraId="7220EE02" w14:textId="77777777" w:rsidR="0059768E" w:rsidRPr="0083325C" w:rsidRDefault="0059768E" w:rsidP="0059768E">
      <w:pPr>
        <w:pStyle w:val="ListParagraph"/>
        <w:numPr>
          <w:ilvl w:val="1"/>
          <w:numId w:val="5"/>
        </w:numPr>
      </w:pPr>
      <w:r w:rsidRPr="0083325C">
        <w:t>Looking at the unadjusted Odds Ratio, how do you interpret it?</w:t>
      </w:r>
    </w:p>
    <w:p w14:paraId="7457BAAF" w14:textId="77777777" w:rsidR="0059768E" w:rsidRPr="0083325C" w:rsidRDefault="0059768E" w:rsidP="0059768E">
      <w:pPr>
        <w:pStyle w:val="ListParagraph"/>
        <w:numPr>
          <w:ilvl w:val="1"/>
          <w:numId w:val="5"/>
        </w:numPr>
      </w:pPr>
      <w:r w:rsidRPr="0083325C">
        <w:t>How do you interpret the confidence interval of the unadjusted OR?</w:t>
      </w:r>
    </w:p>
    <w:p w14:paraId="64A1C46F" w14:textId="77777777" w:rsidR="0059768E" w:rsidRPr="0083325C" w:rsidRDefault="0059768E" w:rsidP="0059768E">
      <w:pPr>
        <w:pStyle w:val="ListParagraph"/>
        <w:numPr>
          <w:ilvl w:val="1"/>
          <w:numId w:val="5"/>
        </w:numPr>
      </w:pPr>
      <w:r w:rsidRPr="0083325C">
        <w:t xml:space="preserve">How do you interpret the adjusted Odds Ratio? </w:t>
      </w:r>
    </w:p>
    <w:p w14:paraId="2CF9AFB7" w14:textId="77777777" w:rsidR="0059768E" w:rsidRPr="0083325C" w:rsidRDefault="0059768E" w:rsidP="0059768E">
      <w:pPr>
        <w:pStyle w:val="ListParagraph"/>
        <w:numPr>
          <w:ilvl w:val="1"/>
          <w:numId w:val="5"/>
        </w:numPr>
      </w:pPr>
      <w:r w:rsidRPr="0083325C">
        <w:t>How do you interpret the confidence interval of the adjusted OR?</w:t>
      </w:r>
    </w:p>
    <w:p w14:paraId="01D6CDB6" w14:textId="77777777" w:rsidR="0059768E" w:rsidRPr="0083325C" w:rsidRDefault="0059768E" w:rsidP="0059768E">
      <w:pPr>
        <w:pStyle w:val="ListParagraph"/>
        <w:numPr>
          <w:ilvl w:val="1"/>
          <w:numId w:val="5"/>
        </w:numPr>
      </w:pPr>
      <w:r w:rsidRPr="0083325C">
        <w:t>Has the association changed when adjusting for control variables and how?</w:t>
      </w:r>
    </w:p>
    <w:p w14:paraId="0EEEC2DE" w14:textId="02F929A9" w:rsidR="0059768E" w:rsidRPr="0083325C" w:rsidRDefault="0059768E" w:rsidP="0059768E">
      <w:pPr>
        <w:pStyle w:val="ListParagraph"/>
        <w:numPr>
          <w:ilvl w:val="1"/>
          <w:numId w:val="5"/>
        </w:numPr>
      </w:pPr>
      <w:r w:rsidRPr="0083325C">
        <w:t>What do you think could have explained the change (if any change present)?</w:t>
      </w:r>
    </w:p>
    <w:p w14:paraId="78795F6C" w14:textId="39291F08" w:rsidR="0059768E" w:rsidRPr="0083325C" w:rsidRDefault="0059768E" w:rsidP="0059768E">
      <w:pPr>
        <w:pStyle w:val="ListParagraph"/>
        <w:numPr>
          <w:ilvl w:val="0"/>
          <w:numId w:val="5"/>
        </w:numPr>
      </w:pPr>
      <w:r w:rsidRPr="0083325C">
        <w:t>Focus on the variable “having supportive colleagues”</w:t>
      </w:r>
    </w:p>
    <w:p w14:paraId="634EB655" w14:textId="77777777" w:rsidR="0059768E" w:rsidRPr="0083325C" w:rsidRDefault="0059768E" w:rsidP="0059768E">
      <w:pPr>
        <w:pStyle w:val="ListParagraph"/>
        <w:numPr>
          <w:ilvl w:val="1"/>
          <w:numId w:val="5"/>
        </w:numPr>
      </w:pPr>
      <w:r w:rsidRPr="0083325C">
        <w:t>Looking at the unadjusted Odds Ratio, how do you interpret it?</w:t>
      </w:r>
    </w:p>
    <w:p w14:paraId="5DB5BDB5" w14:textId="77777777" w:rsidR="0059768E" w:rsidRPr="0083325C" w:rsidRDefault="0059768E" w:rsidP="0059768E">
      <w:pPr>
        <w:pStyle w:val="ListParagraph"/>
        <w:numPr>
          <w:ilvl w:val="1"/>
          <w:numId w:val="5"/>
        </w:numPr>
      </w:pPr>
      <w:r w:rsidRPr="0083325C">
        <w:t>How do you interpret the confidence interval of the unadjusted OR?</w:t>
      </w:r>
    </w:p>
    <w:p w14:paraId="203BB900" w14:textId="77777777" w:rsidR="0059768E" w:rsidRPr="0083325C" w:rsidRDefault="0059768E" w:rsidP="0059768E">
      <w:pPr>
        <w:pStyle w:val="ListParagraph"/>
        <w:numPr>
          <w:ilvl w:val="1"/>
          <w:numId w:val="5"/>
        </w:numPr>
      </w:pPr>
      <w:r w:rsidRPr="0083325C">
        <w:t xml:space="preserve">How do you interpret the adjusted Odds Ratio? </w:t>
      </w:r>
    </w:p>
    <w:p w14:paraId="2E34EC39" w14:textId="77777777" w:rsidR="0059768E" w:rsidRPr="0083325C" w:rsidRDefault="0059768E" w:rsidP="0059768E">
      <w:pPr>
        <w:pStyle w:val="ListParagraph"/>
        <w:numPr>
          <w:ilvl w:val="1"/>
          <w:numId w:val="5"/>
        </w:numPr>
      </w:pPr>
      <w:r w:rsidRPr="0083325C">
        <w:t>How do you interpret the confidence interval of the adjusted OR?</w:t>
      </w:r>
    </w:p>
    <w:p w14:paraId="3F571B87" w14:textId="77777777" w:rsidR="0059768E" w:rsidRPr="0083325C" w:rsidRDefault="0059768E" w:rsidP="0059768E">
      <w:pPr>
        <w:pStyle w:val="ListParagraph"/>
        <w:numPr>
          <w:ilvl w:val="1"/>
          <w:numId w:val="5"/>
        </w:numPr>
      </w:pPr>
      <w:r w:rsidRPr="0083325C">
        <w:t>Has the association changed when adjusting for control variables and how?</w:t>
      </w:r>
    </w:p>
    <w:p w14:paraId="0BC7D533" w14:textId="77777777" w:rsidR="0059768E" w:rsidRPr="0083325C" w:rsidRDefault="0059768E" w:rsidP="0059768E">
      <w:pPr>
        <w:pStyle w:val="ListParagraph"/>
        <w:numPr>
          <w:ilvl w:val="1"/>
          <w:numId w:val="5"/>
        </w:numPr>
      </w:pPr>
      <w:r w:rsidRPr="0083325C">
        <w:t>What do you think could have explained the change (if any change present)?</w:t>
      </w:r>
    </w:p>
    <w:p w14:paraId="7A10FAFB" w14:textId="1936E518" w:rsidR="0059768E" w:rsidRPr="0083325C" w:rsidRDefault="0059768E" w:rsidP="0059768E">
      <w:pPr>
        <w:pStyle w:val="ListParagraph"/>
        <w:numPr>
          <w:ilvl w:val="0"/>
          <w:numId w:val="5"/>
        </w:numPr>
      </w:pPr>
      <w:r w:rsidRPr="0083325C">
        <w:t>Can you think of more confounders that the researchers could have controlled for?</w:t>
      </w:r>
      <w:r w:rsidR="007F5973" w:rsidRPr="0083325C">
        <w:t xml:space="preserve"> How might have they changed the results?</w:t>
      </w:r>
    </w:p>
    <w:p w14:paraId="2DC1F0D7" w14:textId="03A58BE2" w:rsidR="00F54801" w:rsidRPr="0083325C" w:rsidRDefault="00F54801" w:rsidP="0059768E">
      <w:pPr>
        <w:pStyle w:val="ListParagraph"/>
        <w:numPr>
          <w:ilvl w:val="0"/>
          <w:numId w:val="5"/>
        </w:numPr>
      </w:pPr>
      <w:r w:rsidRPr="0083325C">
        <w:t>You read a</w:t>
      </w:r>
      <w:r w:rsidR="00D217F9" w:rsidRPr="0083325C">
        <w:t xml:space="preserve">n article in the local newspaper reporting on the study. The headlines say “If we want </w:t>
      </w:r>
      <w:r w:rsidR="00612381" w:rsidRPr="0083325C">
        <w:t xml:space="preserve">middle aged </w:t>
      </w:r>
      <w:r w:rsidR="00D217F9" w:rsidRPr="0083325C">
        <w:t xml:space="preserve">people to stay in the workforce </w:t>
      </w:r>
      <w:r w:rsidR="00612381" w:rsidRPr="0083325C">
        <w:t>they must have line managers of a similar or older age – it’s clear” and in the article you read</w:t>
      </w:r>
      <w:r w:rsidR="00E7301E" w:rsidRPr="0083325C">
        <w:t>: “Drawing on a large sample of ~10,000 employees from all over the UK, researchers found that those who are line managed by people who are younger than them, they a</w:t>
      </w:r>
      <w:r w:rsidR="00E31FC6" w:rsidRPr="0083325C">
        <w:t xml:space="preserve">re 12% more likely to leave their jobs. It is high time we </w:t>
      </w:r>
      <w:r w:rsidR="009821AA" w:rsidRPr="0083325C">
        <w:t>banned</w:t>
      </w:r>
      <w:r w:rsidR="00E31FC6" w:rsidRPr="0083325C">
        <w:t xml:space="preserve"> millennials and gen z </w:t>
      </w:r>
      <w:r w:rsidR="009821AA" w:rsidRPr="0083325C">
        <w:t xml:space="preserve">from </w:t>
      </w:r>
      <w:r w:rsidR="00E31FC6" w:rsidRPr="0083325C">
        <w:t>managerial positions, o</w:t>
      </w:r>
      <w:r w:rsidR="009821AA" w:rsidRPr="0083325C">
        <w:t>r</w:t>
      </w:r>
      <w:r w:rsidR="00E31FC6" w:rsidRPr="0083325C">
        <w:t xml:space="preserve"> </w:t>
      </w:r>
      <w:r w:rsidR="009821AA" w:rsidRPr="0083325C">
        <w:t>the</w:t>
      </w:r>
      <w:r w:rsidR="00E31FC6" w:rsidRPr="0083325C">
        <w:t xml:space="preserve"> older workforce will feel less valued </w:t>
      </w:r>
      <w:r w:rsidR="00D94DF4" w:rsidRPr="0083325C">
        <w:t xml:space="preserve">and will leave en masse.” What is misleading about </w:t>
      </w:r>
      <w:r w:rsidR="00D94DF4" w:rsidRPr="0083325C">
        <w:lastRenderedPageBreak/>
        <w:t>the headline</w:t>
      </w:r>
      <w:r w:rsidR="004B311B" w:rsidRPr="0083325C">
        <w:t>? What is misleading about the article? How might you communicate the results better?</w:t>
      </w:r>
      <w:r w:rsidR="00E7301E" w:rsidRPr="0083325C">
        <w:t xml:space="preserve"> </w:t>
      </w:r>
    </w:p>
    <w:p w14:paraId="196AB701" w14:textId="45F566CE" w:rsidR="00A5194B" w:rsidRPr="0083325C" w:rsidRDefault="00356E41">
      <w:pPr>
        <w:rPr>
          <w:b/>
          <w:bCs/>
        </w:rPr>
      </w:pPr>
      <w:r w:rsidRPr="0083325C">
        <w:rPr>
          <w:b/>
          <w:bCs/>
        </w:rPr>
        <w:t>Answers:</w:t>
      </w:r>
    </w:p>
    <w:p w14:paraId="470D6EC8" w14:textId="77777777" w:rsidR="00522B69" w:rsidRPr="0083325C" w:rsidRDefault="007F5973">
      <w:r w:rsidRPr="0083325C">
        <w:t xml:space="preserve">1a. An </w:t>
      </w:r>
      <w:r w:rsidR="00D22665" w:rsidRPr="0083325C">
        <w:t xml:space="preserve">odds ratio (OR) of 1.12 means that the odds of early retirement occurring </w:t>
      </w:r>
      <w:r w:rsidR="0062035F" w:rsidRPr="0083325C">
        <w:t xml:space="preserve">for employees who have </w:t>
      </w:r>
      <w:r w:rsidR="00D22665" w:rsidRPr="0083325C">
        <w:t xml:space="preserve">a younger line manager are 1.12 times the odds of </w:t>
      </w:r>
      <w:r w:rsidR="0062035F" w:rsidRPr="0083325C">
        <w:t xml:space="preserve">early retirement for employees </w:t>
      </w:r>
      <w:r w:rsidR="00F54801" w:rsidRPr="0083325C">
        <w:t>who do not have a younger line manager</w:t>
      </w:r>
      <w:r w:rsidR="00D22665" w:rsidRPr="0083325C">
        <w:t xml:space="preserve">. In simpler terms, </w:t>
      </w:r>
      <w:r w:rsidR="00F54801" w:rsidRPr="0083325C">
        <w:t>employees</w:t>
      </w:r>
      <w:r w:rsidR="00347520" w:rsidRPr="0083325C">
        <w:t xml:space="preserve"> with younger line managers are</w:t>
      </w:r>
      <w:r w:rsidR="00D22665" w:rsidRPr="0083325C">
        <w:t xml:space="preserve"> 12% </w:t>
      </w:r>
      <w:r w:rsidR="00347520" w:rsidRPr="0083325C">
        <w:t>more likely to report</w:t>
      </w:r>
      <w:r w:rsidR="00522B69" w:rsidRPr="0083325C">
        <w:t xml:space="preserve"> intention to retire early, compared to employees who have line managers who are either older or of a similar age.</w:t>
      </w:r>
    </w:p>
    <w:p w14:paraId="550CC883" w14:textId="7210A006" w:rsidR="00A5194B" w:rsidRPr="0083325C" w:rsidRDefault="00DF23A9" w:rsidP="00A7570A">
      <w:r w:rsidRPr="0083325C">
        <w:t>1b. Th</w:t>
      </w:r>
      <w:r w:rsidR="00A7570A" w:rsidRPr="0083325C">
        <w:t>is means</w:t>
      </w:r>
      <w:r w:rsidR="00347520" w:rsidRPr="0083325C">
        <w:t xml:space="preserve"> </w:t>
      </w:r>
      <w:bookmarkStart w:id="5" w:name="_Hlk178064018"/>
      <w:r w:rsidR="00A7570A" w:rsidRPr="0083325C">
        <w:t xml:space="preserve">that the true odds ratio lies within </w:t>
      </w:r>
      <w:r w:rsidR="00D540D7" w:rsidRPr="0083325C">
        <w:t>the range</w:t>
      </w:r>
      <w:r w:rsidR="00A7570A" w:rsidRPr="0083325C">
        <w:t xml:space="preserve"> 1.01 </w:t>
      </w:r>
      <w:r w:rsidR="00D540D7" w:rsidRPr="0083325C">
        <w:t xml:space="preserve">- </w:t>
      </w:r>
      <w:r w:rsidR="00A7570A" w:rsidRPr="0083325C">
        <w:t>1.23</w:t>
      </w:r>
      <w:r w:rsidR="00D540D7" w:rsidRPr="0083325C">
        <w:t xml:space="preserve"> with a 95% probability</w:t>
      </w:r>
      <w:r w:rsidR="00A7570A" w:rsidRPr="0083325C">
        <w:t>.</w:t>
      </w:r>
      <w:r w:rsidR="00D540D7" w:rsidRPr="0083325C">
        <w:t xml:space="preserve"> </w:t>
      </w:r>
      <w:r w:rsidR="00A7570A" w:rsidRPr="0083325C">
        <w:t xml:space="preserve">Since the interval does not include 1, </w:t>
      </w:r>
      <w:r w:rsidR="00C81CF8" w:rsidRPr="0083325C">
        <w:t>the association is statistically significant at &lt;.05. In fact, the p-value is .04</w:t>
      </w:r>
    </w:p>
    <w:bookmarkEnd w:id="5"/>
    <w:p w14:paraId="2E6CF921" w14:textId="61A63D7B" w:rsidR="00D540D7" w:rsidRPr="0083325C" w:rsidRDefault="00D540D7" w:rsidP="00A7570A">
      <w:r w:rsidRPr="0083325C">
        <w:t xml:space="preserve">1c. An adjusted odds ratio of 1.05 means that, after controlling for </w:t>
      </w:r>
      <w:proofErr w:type="gramStart"/>
      <w:r w:rsidR="000267F5" w:rsidRPr="0083325C">
        <w:t>a number of</w:t>
      </w:r>
      <w:proofErr w:type="gramEnd"/>
      <w:r w:rsidR="000267F5" w:rsidRPr="0083325C">
        <w:t xml:space="preserve"> potential confounders,</w:t>
      </w:r>
      <w:r w:rsidRPr="0083325C">
        <w:t xml:space="preserve"> the odds of early retirement occurring for employees who have a younger line manager are 1.</w:t>
      </w:r>
      <w:r w:rsidR="000267F5" w:rsidRPr="0083325C">
        <w:t>05</w:t>
      </w:r>
      <w:r w:rsidRPr="0083325C">
        <w:t xml:space="preserve"> times the odds of early retirement for employees who do not have a younger line manager. In simpler terms, employees with younger line managers are </w:t>
      </w:r>
      <w:r w:rsidR="000267F5" w:rsidRPr="0083325C">
        <w:t>5</w:t>
      </w:r>
      <w:r w:rsidRPr="0083325C">
        <w:t>% more likely to report intention to retire early, compared to employees who have line managers who are either older or of a similar age.</w:t>
      </w:r>
    </w:p>
    <w:p w14:paraId="065D9518" w14:textId="61BC8EB8" w:rsidR="000267F5" w:rsidRPr="0083325C" w:rsidRDefault="000267F5" w:rsidP="00A7570A">
      <w:r w:rsidRPr="0083325C">
        <w:t xml:space="preserve">1d. The confidence interval of the adjusted OR </w:t>
      </w:r>
      <w:r w:rsidR="0003025B" w:rsidRPr="0083325C">
        <w:t xml:space="preserve">suggests that the true odds ratio lies within the range 0.98 - 1.21 with a 95% probability. Since the interval does include 1, the </w:t>
      </w:r>
      <w:r w:rsidR="00930741" w:rsidRPr="0083325C">
        <w:t xml:space="preserve">association </w:t>
      </w:r>
      <w:r w:rsidR="0003025B" w:rsidRPr="0083325C">
        <w:t xml:space="preserve">is </w:t>
      </w:r>
      <w:r w:rsidR="00930741" w:rsidRPr="0083325C">
        <w:t xml:space="preserve">not </w:t>
      </w:r>
      <w:r w:rsidR="0003025B" w:rsidRPr="0083325C">
        <w:t>statistically significant at</w:t>
      </w:r>
      <w:r w:rsidR="00930741" w:rsidRPr="0083325C">
        <w:t xml:space="preserve"> &lt;.05</w:t>
      </w:r>
      <w:r w:rsidR="0003025B" w:rsidRPr="0083325C">
        <w:t>.</w:t>
      </w:r>
      <w:r w:rsidR="00930741" w:rsidRPr="0083325C">
        <w:t xml:space="preserve"> In fact, the p-value is now .582</w:t>
      </w:r>
    </w:p>
    <w:p w14:paraId="1B7E372B" w14:textId="0E66729F" w:rsidR="00D37969" w:rsidRPr="0083325C" w:rsidRDefault="00D37969" w:rsidP="00D37969">
      <w:pPr>
        <w:spacing w:before="240"/>
      </w:pPr>
      <w:r w:rsidRPr="0083325C">
        <w:t>1e. Yes, the association has changed. The odds ratio, albeit in the same direction, is now smaller (1.05 vs 1.12) and the association is not statistically significant any longer.</w:t>
      </w:r>
    </w:p>
    <w:p w14:paraId="63F58C33" w14:textId="6EA5BB76" w:rsidR="00D37969" w:rsidRPr="0083325C" w:rsidRDefault="00D37969" w:rsidP="00D37969">
      <w:pPr>
        <w:spacing w:before="240"/>
      </w:pPr>
      <w:r w:rsidRPr="0083325C">
        <w:t xml:space="preserve">1f. </w:t>
      </w:r>
      <w:r w:rsidR="00E01670" w:rsidRPr="0083325C">
        <w:t>C</w:t>
      </w:r>
      <w:r w:rsidR="00E96213" w:rsidRPr="0083325C">
        <w:t xml:space="preserve">ontrolling for confounders such as </w:t>
      </w:r>
      <w:r w:rsidR="000570F5" w:rsidRPr="0083325C">
        <w:t>age, gender, disabilities</w:t>
      </w:r>
      <w:r w:rsidR="00E01670" w:rsidRPr="0083325C">
        <w:t xml:space="preserve"> and number of co-morbidities has led the association to </w:t>
      </w:r>
      <w:r w:rsidR="00EE1DFF" w:rsidRPr="0083325C">
        <w:t xml:space="preserve">attenuate and </w:t>
      </w:r>
      <w:r w:rsidR="004740E3" w:rsidRPr="0083325C">
        <w:t xml:space="preserve">to be </w:t>
      </w:r>
      <w:r w:rsidR="00E01670" w:rsidRPr="0083325C">
        <w:t xml:space="preserve">not statistically significant any longer, likely because one or more of these variables were influencing the association. For example, </w:t>
      </w:r>
      <w:r w:rsidR="005F6849" w:rsidRPr="0083325C">
        <w:t xml:space="preserve">it might be that when employees had a higher number of co-morbidities, they were </w:t>
      </w:r>
      <w:r w:rsidR="009606EA" w:rsidRPr="0083325C">
        <w:t xml:space="preserve">more likely to want to retire early regardless of their line managers’ age. </w:t>
      </w:r>
      <w:r w:rsidR="00E01670" w:rsidRPr="0083325C">
        <w:t xml:space="preserve"> </w:t>
      </w:r>
    </w:p>
    <w:p w14:paraId="3DE9F90E" w14:textId="29632DC4" w:rsidR="004740E3" w:rsidRPr="0083325C" w:rsidRDefault="00EF3317" w:rsidP="004740E3">
      <w:r w:rsidRPr="0083325C">
        <w:t>2</w:t>
      </w:r>
      <w:r w:rsidR="004740E3" w:rsidRPr="0083325C">
        <w:t>a. An odds ratio (OR) of 1.</w:t>
      </w:r>
      <w:r w:rsidR="00727B64" w:rsidRPr="0083325C">
        <w:t>00</w:t>
      </w:r>
      <w:r w:rsidR="004740E3" w:rsidRPr="0083325C">
        <w:t xml:space="preserve"> means that the odds of early retirement </w:t>
      </w:r>
      <w:r w:rsidR="00727B64" w:rsidRPr="0083325C">
        <w:t xml:space="preserve">are the same for both </w:t>
      </w:r>
      <w:bookmarkStart w:id="6" w:name="_Hlk178066316"/>
      <w:r w:rsidR="00727B64" w:rsidRPr="0083325C">
        <w:t xml:space="preserve">employees reporting fair career progression opportunities </w:t>
      </w:r>
      <w:bookmarkEnd w:id="6"/>
      <w:r w:rsidR="00727B64" w:rsidRPr="0083325C">
        <w:t>and those</w:t>
      </w:r>
      <w:r w:rsidR="0002526A" w:rsidRPr="0083325C">
        <w:t xml:space="preserve"> not</w:t>
      </w:r>
      <w:r w:rsidR="00727B64" w:rsidRPr="0083325C">
        <w:t xml:space="preserve"> reporting fair career progression opportunities. </w:t>
      </w:r>
    </w:p>
    <w:p w14:paraId="54046587" w14:textId="02DC5C42" w:rsidR="004740E3" w:rsidRPr="0083325C" w:rsidRDefault="00EF3317" w:rsidP="004740E3">
      <w:r w:rsidRPr="0083325C">
        <w:t>2</w:t>
      </w:r>
      <w:r w:rsidR="004740E3" w:rsidRPr="0083325C">
        <w:t xml:space="preserve">b. This means that the true odds ratio lies within the range </w:t>
      </w:r>
      <w:r w:rsidR="00A74985" w:rsidRPr="0083325C">
        <w:t>0.91-1.03</w:t>
      </w:r>
      <w:r w:rsidR="004740E3" w:rsidRPr="0083325C">
        <w:t xml:space="preserve"> with a 95% probability. Since the interval does include 1, the association is statistically significant at &lt;.05. In fact, the p-value is .</w:t>
      </w:r>
      <w:r w:rsidR="00A74985" w:rsidRPr="0083325C">
        <w:t>951</w:t>
      </w:r>
    </w:p>
    <w:p w14:paraId="47B7C4E8" w14:textId="5DAAC1F6" w:rsidR="004740E3" w:rsidRPr="0083325C" w:rsidRDefault="00EF3317" w:rsidP="004740E3">
      <w:r w:rsidRPr="0083325C">
        <w:t>2</w:t>
      </w:r>
      <w:r w:rsidR="004740E3" w:rsidRPr="0083325C">
        <w:t xml:space="preserve">c. An adjusted odds ratio of </w:t>
      </w:r>
      <w:r w:rsidR="00641038" w:rsidRPr="0083325C">
        <w:t>0</w:t>
      </w:r>
      <w:r w:rsidR="004740E3" w:rsidRPr="0083325C">
        <w:t>.</w:t>
      </w:r>
      <w:r w:rsidR="00641038" w:rsidRPr="0083325C">
        <w:t>99</w:t>
      </w:r>
      <w:r w:rsidR="004740E3" w:rsidRPr="0083325C">
        <w:t xml:space="preserve"> means that, after controlling for </w:t>
      </w:r>
      <w:proofErr w:type="gramStart"/>
      <w:r w:rsidR="004740E3" w:rsidRPr="0083325C">
        <w:t>a number of</w:t>
      </w:r>
      <w:proofErr w:type="gramEnd"/>
      <w:r w:rsidR="004740E3" w:rsidRPr="0083325C">
        <w:t xml:space="preserve"> potential confounders, the odds of early retirement occurring for </w:t>
      </w:r>
      <w:r w:rsidR="0002526A" w:rsidRPr="0083325C">
        <w:t xml:space="preserve">employees reporting fair career progression opportunities </w:t>
      </w:r>
      <w:r w:rsidR="004740E3" w:rsidRPr="0083325C">
        <w:t xml:space="preserve">are </w:t>
      </w:r>
      <w:r w:rsidR="00641038" w:rsidRPr="0083325C">
        <w:t>0</w:t>
      </w:r>
      <w:r w:rsidR="004740E3" w:rsidRPr="0083325C">
        <w:t>.</w:t>
      </w:r>
      <w:r w:rsidR="00641038" w:rsidRPr="0083325C">
        <w:t>99</w:t>
      </w:r>
      <w:r w:rsidR="004740E3" w:rsidRPr="0083325C">
        <w:t xml:space="preserve"> times the odds of early retirement for employees who do not </w:t>
      </w:r>
      <w:r w:rsidR="0002526A" w:rsidRPr="0083325C">
        <w:t>report fair career progression opportunities</w:t>
      </w:r>
      <w:r w:rsidR="004740E3" w:rsidRPr="0083325C">
        <w:t xml:space="preserve">. In simpler terms, employees </w:t>
      </w:r>
      <w:r w:rsidR="0002526A" w:rsidRPr="0083325C">
        <w:t>reporting fair career progression opportunities</w:t>
      </w:r>
      <w:r w:rsidR="004740E3" w:rsidRPr="0083325C">
        <w:t xml:space="preserve"> are </w:t>
      </w:r>
      <w:r w:rsidR="0002526A" w:rsidRPr="0083325C">
        <w:t>1</w:t>
      </w:r>
      <w:r w:rsidR="004740E3" w:rsidRPr="0083325C">
        <w:t xml:space="preserve">% </w:t>
      </w:r>
      <w:r w:rsidR="0002526A" w:rsidRPr="0083325C">
        <w:t>less</w:t>
      </w:r>
      <w:r w:rsidR="004740E3" w:rsidRPr="0083325C">
        <w:t xml:space="preserve"> likely to report intention to retire early, compared to </w:t>
      </w:r>
      <w:r w:rsidR="0002526A" w:rsidRPr="0083325C">
        <w:t>employees reporting fair career progression opportunities</w:t>
      </w:r>
      <w:r w:rsidR="004740E3" w:rsidRPr="0083325C">
        <w:t>.</w:t>
      </w:r>
    </w:p>
    <w:p w14:paraId="7009E274" w14:textId="7C8E50DD" w:rsidR="004740E3" w:rsidRPr="0083325C" w:rsidRDefault="00EF3317" w:rsidP="004740E3">
      <w:r w:rsidRPr="0083325C">
        <w:lastRenderedPageBreak/>
        <w:t>2</w:t>
      </w:r>
      <w:r w:rsidR="004740E3" w:rsidRPr="0083325C">
        <w:t xml:space="preserve">d. The confidence interval of the adjusted OR suggests that the true odds ratio lies within the range </w:t>
      </w:r>
      <w:r w:rsidR="006B5DBE" w:rsidRPr="0083325C">
        <w:t xml:space="preserve">0.97-1.02 </w:t>
      </w:r>
      <w:r w:rsidR="004740E3" w:rsidRPr="0083325C">
        <w:t xml:space="preserve">with a 95% probability. Since the interval does include 1, the association is not statistically significant at &lt;.05. In fact, the p-value is now </w:t>
      </w:r>
      <w:r w:rsidR="006B5DBE" w:rsidRPr="0083325C">
        <w:t xml:space="preserve">.689. </w:t>
      </w:r>
    </w:p>
    <w:p w14:paraId="464164BE" w14:textId="609FBD77" w:rsidR="004740E3" w:rsidRPr="0083325C" w:rsidRDefault="00EF3317" w:rsidP="004740E3">
      <w:pPr>
        <w:spacing w:before="240"/>
      </w:pPr>
      <w:r w:rsidRPr="0083325C">
        <w:t>2</w:t>
      </w:r>
      <w:r w:rsidR="004740E3" w:rsidRPr="0083325C">
        <w:t>e. Yes, the association has changed</w:t>
      </w:r>
      <w:r w:rsidR="005F49C9" w:rsidRPr="0083325C">
        <w:t xml:space="preserve"> direction.</w:t>
      </w:r>
      <w:r w:rsidR="004740E3" w:rsidRPr="0083325C">
        <w:t xml:space="preserve"> </w:t>
      </w:r>
      <w:r w:rsidR="005F49C9" w:rsidRPr="0083325C">
        <w:t>A</w:t>
      </w:r>
      <w:r w:rsidR="004740E3" w:rsidRPr="0083325C">
        <w:t xml:space="preserve">lbeit </w:t>
      </w:r>
      <w:r w:rsidR="005F49C9" w:rsidRPr="0083325C">
        <w:t xml:space="preserve">still not statistically significant, the </w:t>
      </w:r>
      <w:r w:rsidR="002806F3" w:rsidRPr="0083325C">
        <w:t xml:space="preserve">odds ratio now suggests a reduction in the odds of early retirement for employees reporting fair career progression opportunities. </w:t>
      </w:r>
      <w:r w:rsidR="003B0CAA" w:rsidRPr="0083325C">
        <w:t>Note the magnitude of the association is small (1%)</w:t>
      </w:r>
      <w:r w:rsidR="003F7E0D" w:rsidRPr="0083325C">
        <w:t xml:space="preserve">  - virtually close to 0%</w:t>
      </w:r>
      <w:r w:rsidR="003B0CAA" w:rsidRPr="0083325C">
        <w:t xml:space="preserve">, and not statistically significant, so we should not over emphasise this change of direction in the association. </w:t>
      </w:r>
    </w:p>
    <w:p w14:paraId="55C29661" w14:textId="50459923" w:rsidR="004740E3" w:rsidRPr="0083325C" w:rsidRDefault="00EF3317" w:rsidP="004740E3">
      <w:pPr>
        <w:spacing w:before="240"/>
      </w:pPr>
      <w:r w:rsidRPr="0083325C">
        <w:t>2</w:t>
      </w:r>
      <w:r w:rsidR="004740E3" w:rsidRPr="0083325C">
        <w:t xml:space="preserve">f. Controlling for confounders such as age, gender, disabilities and number of co-morbidities has led the association to </w:t>
      </w:r>
      <w:r w:rsidR="003F7E0D" w:rsidRPr="0083325C">
        <w:t>change direction</w:t>
      </w:r>
      <w:r w:rsidR="004740E3" w:rsidRPr="0083325C">
        <w:t xml:space="preserve">, likely because one or more of these variables were influencing the association. </w:t>
      </w:r>
      <w:r w:rsidR="007C6F86" w:rsidRPr="0083325C">
        <w:t>However, given the small magnitude of the association (1%)  - virtually close to 0%, and the lack of precision in the estimate, we should not over emphasise th</w:t>
      </w:r>
      <w:r w:rsidRPr="0083325C">
        <w:t>e</w:t>
      </w:r>
      <w:r w:rsidR="007C6F86" w:rsidRPr="0083325C">
        <w:t xml:space="preserve"> change of direction in the association</w:t>
      </w:r>
      <w:r w:rsidRPr="0083325C">
        <w:t xml:space="preserve"> when interpreting these results</w:t>
      </w:r>
      <w:r w:rsidR="00E40BB4" w:rsidRPr="0083325C">
        <w:t>.</w:t>
      </w:r>
    </w:p>
    <w:p w14:paraId="2B2D7190" w14:textId="2299F6C0" w:rsidR="00E40BB4" w:rsidRPr="0083325C" w:rsidRDefault="00E40BB4" w:rsidP="00E40BB4">
      <w:r w:rsidRPr="0083325C">
        <w:t>3a. An odds ratio (OR) of 0.98 means that the</w:t>
      </w:r>
      <w:r w:rsidR="00C365F7" w:rsidRPr="0083325C">
        <w:t xml:space="preserve"> odds for employees reporting satisfaction with pay </w:t>
      </w:r>
      <w:r w:rsidRPr="0083325C">
        <w:t xml:space="preserve"> are </w:t>
      </w:r>
      <w:r w:rsidR="00C365F7" w:rsidRPr="0083325C">
        <w:t>0</w:t>
      </w:r>
      <w:r w:rsidRPr="0083325C">
        <w:t>.</w:t>
      </w:r>
      <w:r w:rsidR="00C365F7" w:rsidRPr="0083325C">
        <w:t>98</w:t>
      </w:r>
      <w:r w:rsidRPr="0083325C">
        <w:t xml:space="preserve"> times the odds of early retirement for employees who </w:t>
      </w:r>
      <w:r w:rsidR="00C66403" w:rsidRPr="0083325C">
        <w:t>are not satisfied with pay</w:t>
      </w:r>
      <w:r w:rsidRPr="0083325C">
        <w:t xml:space="preserve">. In simpler terms, employees </w:t>
      </w:r>
      <w:r w:rsidR="00C66403" w:rsidRPr="0083325C">
        <w:t>who are satisfied with pay</w:t>
      </w:r>
      <w:r w:rsidRPr="0083325C">
        <w:t xml:space="preserve"> are 2% </w:t>
      </w:r>
      <w:r w:rsidR="00C66403" w:rsidRPr="0083325C">
        <w:t>less</w:t>
      </w:r>
      <w:r w:rsidRPr="0083325C">
        <w:t xml:space="preserve"> likely to report intention to retire early, compared to employees who </w:t>
      </w:r>
      <w:r w:rsidR="00C66403" w:rsidRPr="0083325C">
        <w:t>are not satisfied with pay</w:t>
      </w:r>
      <w:r w:rsidRPr="0083325C">
        <w:t>.</w:t>
      </w:r>
    </w:p>
    <w:p w14:paraId="096A5B89" w14:textId="26D6F240" w:rsidR="00E40BB4" w:rsidRPr="0083325C" w:rsidRDefault="00E40BB4" w:rsidP="00E40BB4">
      <w:r w:rsidRPr="0083325C">
        <w:t xml:space="preserve">3b. This means that the true odds ratio lies within the range </w:t>
      </w:r>
      <w:r w:rsidR="00367158" w:rsidRPr="0083325C">
        <w:t xml:space="preserve">0.97-0.99 </w:t>
      </w:r>
      <w:r w:rsidRPr="0083325C">
        <w:t>with a 95% probability. Since the interval does</w:t>
      </w:r>
      <w:r w:rsidR="00367158" w:rsidRPr="0083325C">
        <w:t xml:space="preserve"> not</w:t>
      </w:r>
      <w:r w:rsidRPr="0083325C">
        <w:t xml:space="preserve"> include 1, the association is statistically significant at &lt;.05. In fact, the p-value is .</w:t>
      </w:r>
      <w:r w:rsidR="00367158" w:rsidRPr="0083325C">
        <w:t>39</w:t>
      </w:r>
    </w:p>
    <w:p w14:paraId="4C9C0C11" w14:textId="77777777" w:rsidR="002334DC" w:rsidRPr="0083325C" w:rsidRDefault="00E40BB4" w:rsidP="00E40BB4">
      <w:r w:rsidRPr="0083325C">
        <w:t>3c. An adjusted odds ratio of 0.9</w:t>
      </w:r>
      <w:r w:rsidR="00836ACB" w:rsidRPr="0083325C">
        <w:t>2</w:t>
      </w:r>
      <w:r w:rsidRPr="0083325C">
        <w:t xml:space="preserve"> means that, after controlling for </w:t>
      </w:r>
      <w:proofErr w:type="gramStart"/>
      <w:r w:rsidRPr="0083325C">
        <w:t>a number of</w:t>
      </w:r>
      <w:proofErr w:type="gramEnd"/>
      <w:r w:rsidRPr="0083325C">
        <w:t xml:space="preserve"> potential confounders, the odds of early retirement occurring for employees </w:t>
      </w:r>
      <w:r w:rsidR="00836ACB" w:rsidRPr="0083325C">
        <w:t>who are satisfied with pay</w:t>
      </w:r>
      <w:r w:rsidRPr="0083325C">
        <w:t xml:space="preserve"> are 0.9</w:t>
      </w:r>
      <w:r w:rsidR="00836ACB" w:rsidRPr="0083325C">
        <w:t>2</w:t>
      </w:r>
      <w:r w:rsidRPr="0083325C">
        <w:t xml:space="preserve"> times the odds of early retirement for employees who do not report </w:t>
      </w:r>
      <w:r w:rsidR="00836ACB" w:rsidRPr="0083325C">
        <w:t>satisfaction with pay</w:t>
      </w:r>
      <w:r w:rsidRPr="0083325C">
        <w:t xml:space="preserve">. In simpler terms, employees reporting fair career progression opportunities are </w:t>
      </w:r>
      <w:r w:rsidR="00836ACB" w:rsidRPr="0083325C">
        <w:t>8</w:t>
      </w:r>
      <w:r w:rsidRPr="0083325C">
        <w:t xml:space="preserve">% </w:t>
      </w:r>
      <w:r w:rsidR="00836ACB" w:rsidRPr="0083325C">
        <w:t>less likely to report intention to retire early, compared to employees who are not satisfied with pay</w:t>
      </w:r>
      <w:r w:rsidR="002334DC" w:rsidRPr="0083325C">
        <w:t>.</w:t>
      </w:r>
    </w:p>
    <w:p w14:paraId="34617BA3" w14:textId="1802B86D" w:rsidR="00E40BB4" w:rsidRPr="0083325C" w:rsidRDefault="00836ACB" w:rsidP="00E40BB4">
      <w:r w:rsidRPr="0083325C">
        <w:t xml:space="preserve"> </w:t>
      </w:r>
      <w:r w:rsidR="00E40BB4" w:rsidRPr="0083325C">
        <w:t>3d. The confidence interval of the adjusted OR suggests that the true odds ratio lies within the range 0.9</w:t>
      </w:r>
      <w:r w:rsidR="002334DC" w:rsidRPr="0083325C">
        <w:t>0</w:t>
      </w:r>
      <w:r w:rsidR="00E40BB4" w:rsidRPr="0083325C">
        <w:t>-</w:t>
      </w:r>
      <w:r w:rsidR="002334DC" w:rsidRPr="0083325C">
        <w:t>0</w:t>
      </w:r>
      <w:r w:rsidR="00E40BB4" w:rsidRPr="0083325C">
        <w:t>.</w:t>
      </w:r>
      <w:r w:rsidR="002334DC" w:rsidRPr="0083325C">
        <w:t>9</w:t>
      </w:r>
      <w:r w:rsidR="00FB6EBC" w:rsidRPr="0083325C">
        <w:t>4</w:t>
      </w:r>
      <w:r w:rsidR="00E40BB4" w:rsidRPr="0083325C">
        <w:t xml:space="preserve"> with a 95% probability. Since the interval does </w:t>
      </w:r>
      <w:r w:rsidR="002334DC" w:rsidRPr="0083325C">
        <w:t xml:space="preserve">not </w:t>
      </w:r>
      <w:r w:rsidR="00E40BB4" w:rsidRPr="0083325C">
        <w:t>include 1, the association is statistically significant at &lt;.05. In fact, the p-value is now .</w:t>
      </w:r>
      <w:r w:rsidR="002074BE" w:rsidRPr="0083325C">
        <w:t>001</w:t>
      </w:r>
      <w:r w:rsidR="00E40BB4" w:rsidRPr="0083325C">
        <w:t xml:space="preserve">. </w:t>
      </w:r>
    </w:p>
    <w:p w14:paraId="1AD0E5CC" w14:textId="3B3BC7D5" w:rsidR="00E40BB4" w:rsidRPr="0083325C" w:rsidRDefault="00E40BB4" w:rsidP="00E40BB4">
      <w:pPr>
        <w:spacing w:before="240"/>
      </w:pPr>
      <w:r w:rsidRPr="0083325C">
        <w:t xml:space="preserve">3e. Yes, the </w:t>
      </w:r>
      <w:r w:rsidR="002074BE" w:rsidRPr="0083325C">
        <w:t>magnitude of the association has increased</w:t>
      </w:r>
      <w:r w:rsidRPr="0083325C">
        <w:t xml:space="preserve">. </w:t>
      </w:r>
      <w:r w:rsidR="002074BE" w:rsidRPr="0083325C">
        <w:t xml:space="preserve">The association </w:t>
      </w:r>
      <w:r w:rsidR="00FB6EBC" w:rsidRPr="0083325C">
        <w:t xml:space="preserve">was already statistically significant, but we observe an increase in the precision of the 95% confidence interval, which is now narrower. </w:t>
      </w:r>
    </w:p>
    <w:p w14:paraId="5B0C84D2" w14:textId="7B5ED38A" w:rsidR="00E40BB4" w:rsidRPr="0083325C" w:rsidRDefault="00E40BB4" w:rsidP="00E40BB4">
      <w:pPr>
        <w:spacing w:before="240"/>
      </w:pPr>
      <w:r w:rsidRPr="0083325C">
        <w:t xml:space="preserve">3f. Controlling for confounders such as age, gender, disabilities and number of co-morbidities has led the association to </w:t>
      </w:r>
      <w:r w:rsidR="003E0D63" w:rsidRPr="0083325C">
        <w:t>increase in magnitude</w:t>
      </w:r>
      <w:r w:rsidRPr="0083325C">
        <w:t xml:space="preserve">, likely because one or more of these variables were influencing the association. </w:t>
      </w:r>
      <w:r w:rsidR="003E0D63" w:rsidRPr="0083325C">
        <w:t xml:space="preserve">For example, </w:t>
      </w:r>
      <w:r w:rsidR="00722699" w:rsidRPr="0083325C">
        <w:t xml:space="preserve">women might value their pay more than men, or employees with </w:t>
      </w:r>
      <w:r w:rsidR="00F7186D" w:rsidRPr="0083325C">
        <w:t xml:space="preserve">disabilities might </w:t>
      </w:r>
      <w:r w:rsidR="00C20E32" w:rsidRPr="0083325C">
        <w:t>place more importance on their pay. The evidence can help explain the mechanism underlying this change in the magnitude of the association, so it is always worth having a quick literature search to understand how the control variables might influence this association.</w:t>
      </w:r>
    </w:p>
    <w:p w14:paraId="69827152" w14:textId="07E7372A" w:rsidR="00C84FED" w:rsidRPr="0083325C" w:rsidRDefault="00C84FED" w:rsidP="00C84FED">
      <w:pPr>
        <w:spacing w:before="240"/>
      </w:pPr>
      <w:r w:rsidRPr="0083325C">
        <w:t xml:space="preserve">4a. An odds ratio (OR) of 1.02 means that the odds for employees who have supporting colleagues are 1.02 times the odds of early retirement for employees who </w:t>
      </w:r>
      <w:r w:rsidR="00632617" w:rsidRPr="0083325C">
        <w:t>do not have supportive colleagues</w:t>
      </w:r>
      <w:r w:rsidRPr="0083325C">
        <w:t xml:space="preserve">. In simpler terms, employees who </w:t>
      </w:r>
      <w:r w:rsidR="00632617" w:rsidRPr="0083325C">
        <w:t xml:space="preserve">employees who have supporting </w:t>
      </w:r>
      <w:r w:rsidR="00632617" w:rsidRPr="0083325C">
        <w:lastRenderedPageBreak/>
        <w:t>colleagues</w:t>
      </w:r>
      <w:r w:rsidRPr="0083325C">
        <w:t xml:space="preserve"> are 2% </w:t>
      </w:r>
      <w:r w:rsidR="00632617" w:rsidRPr="0083325C">
        <w:t>more</w:t>
      </w:r>
      <w:r w:rsidRPr="0083325C">
        <w:t xml:space="preserve"> likely to report intention to retire early, compared to </w:t>
      </w:r>
      <w:r w:rsidR="00632617" w:rsidRPr="0083325C">
        <w:t>employees who do not have supporting colleagues</w:t>
      </w:r>
      <w:r w:rsidRPr="0083325C">
        <w:t>.</w:t>
      </w:r>
    </w:p>
    <w:p w14:paraId="4C423A85" w14:textId="3456CC96" w:rsidR="00C84FED" w:rsidRPr="0083325C" w:rsidRDefault="00632617" w:rsidP="00C84FED">
      <w:pPr>
        <w:spacing w:before="240"/>
      </w:pPr>
      <w:r w:rsidRPr="0083325C">
        <w:t>4</w:t>
      </w:r>
      <w:r w:rsidR="00C84FED" w:rsidRPr="0083325C">
        <w:t xml:space="preserve">b. This means that the true odds ratio lies within the range </w:t>
      </w:r>
      <w:r w:rsidRPr="0083325C">
        <w:t xml:space="preserve">0.99-1.05 </w:t>
      </w:r>
      <w:r w:rsidR="00C84FED" w:rsidRPr="0083325C">
        <w:t>with a 95% probability. Since the interval does include 1, the association is</w:t>
      </w:r>
      <w:r w:rsidRPr="0083325C">
        <w:t xml:space="preserve"> not</w:t>
      </w:r>
      <w:r w:rsidR="00C84FED" w:rsidRPr="0083325C">
        <w:t xml:space="preserve"> statistically significant at &lt;.05. In fact, the p-value is .</w:t>
      </w:r>
      <w:r w:rsidRPr="0083325C">
        <w:t>15</w:t>
      </w:r>
      <w:r w:rsidR="00E53B25" w:rsidRPr="0083325C">
        <w:t>.</w:t>
      </w:r>
    </w:p>
    <w:p w14:paraId="65F71B73" w14:textId="48A7219A" w:rsidR="00E53B25" w:rsidRPr="0083325C" w:rsidRDefault="00E53B25" w:rsidP="00E53B25">
      <w:pPr>
        <w:spacing w:before="240"/>
      </w:pPr>
      <w:r w:rsidRPr="0083325C">
        <w:t>4</w:t>
      </w:r>
      <w:r w:rsidR="00C84FED" w:rsidRPr="0083325C">
        <w:t xml:space="preserve">c. An adjusted odds ratio of 0.92 means that, after controlling for </w:t>
      </w:r>
      <w:proofErr w:type="gramStart"/>
      <w:r w:rsidR="00C84FED" w:rsidRPr="0083325C">
        <w:t>a number of</w:t>
      </w:r>
      <w:proofErr w:type="gramEnd"/>
      <w:r w:rsidR="00C84FED" w:rsidRPr="0083325C">
        <w:t xml:space="preserve"> potential confounders, the odds of early retirement occurring for </w:t>
      </w:r>
      <w:r w:rsidRPr="0083325C">
        <w:t xml:space="preserve">employees who have supportive colleagues </w:t>
      </w:r>
      <w:r w:rsidR="00C84FED" w:rsidRPr="0083325C">
        <w:t xml:space="preserve">are 0.92 times the odds of early retirement for </w:t>
      </w:r>
      <w:r w:rsidRPr="0083325C">
        <w:t>employees who do not have supportive colleagues</w:t>
      </w:r>
      <w:r w:rsidR="00C84FED" w:rsidRPr="0083325C">
        <w:t xml:space="preserve">. In simpler terms, </w:t>
      </w:r>
      <w:r w:rsidRPr="0083325C">
        <w:t>employees who have supporting colleagues are 8% more likely to report intention to retire early, compared to employees who do not have supporting colleagues.</w:t>
      </w:r>
    </w:p>
    <w:p w14:paraId="5D2131DA" w14:textId="1873F41A" w:rsidR="00C84FED" w:rsidRPr="0083325C" w:rsidRDefault="00C84FED" w:rsidP="00C84FED">
      <w:pPr>
        <w:spacing w:before="240"/>
      </w:pPr>
      <w:r w:rsidRPr="0083325C">
        <w:t xml:space="preserve"> </w:t>
      </w:r>
      <w:r w:rsidR="00E53B25" w:rsidRPr="0083325C">
        <w:t>4</w:t>
      </w:r>
      <w:r w:rsidRPr="0083325C">
        <w:t xml:space="preserve">d. The confidence interval of the adjusted OR suggests that the true odds ratio lies within the range </w:t>
      </w:r>
      <w:r w:rsidR="00E53B25" w:rsidRPr="0083325C">
        <w:t xml:space="preserve">0.89-0.94 </w:t>
      </w:r>
      <w:r w:rsidRPr="0083325C">
        <w:t>with a 95% probability. Since the interval does not include 1, the association is statistically significant at &lt;.05. In fact, the p-value is now .00</w:t>
      </w:r>
      <w:r w:rsidR="00E53B25" w:rsidRPr="0083325C">
        <w:t>0</w:t>
      </w:r>
      <w:r w:rsidRPr="0083325C">
        <w:t xml:space="preserve">. </w:t>
      </w:r>
    </w:p>
    <w:p w14:paraId="5D825182" w14:textId="2BCD4304" w:rsidR="00C84FED" w:rsidRPr="0083325C" w:rsidRDefault="00802550" w:rsidP="00C84FED">
      <w:pPr>
        <w:spacing w:before="240"/>
      </w:pPr>
      <w:r w:rsidRPr="0083325C">
        <w:t>4</w:t>
      </w:r>
      <w:r w:rsidR="00C84FED" w:rsidRPr="0083325C">
        <w:t>e. Yes, the magnitude of the association has increased</w:t>
      </w:r>
      <w:r w:rsidRPr="0083325C">
        <w:t xml:space="preserve">, changed direction, and the </w:t>
      </w:r>
      <w:r w:rsidR="00C84FED" w:rsidRPr="0083325C">
        <w:t xml:space="preserve">association </w:t>
      </w:r>
      <w:r w:rsidRPr="0083325C">
        <w:t>is now</w:t>
      </w:r>
      <w:r w:rsidR="00C84FED" w:rsidRPr="0083325C">
        <w:t xml:space="preserve"> statistically significant</w:t>
      </w:r>
      <w:r w:rsidRPr="0083325C">
        <w:t>.</w:t>
      </w:r>
      <w:r w:rsidR="00C84FED" w:rsidRPr="0083325C">
        <w:t xml:space="preserve"> </w:t>
      </w:r>
    </w:p>
    <w:p w14:paraId="5A882852" w14:textId="354DB1B6" w:rsidR="004740E3" w:rsidRPr="0083325C" w:rsidRDefault="00802550" w:rsidP="00C84FED">
      <w:pPr>
        <w:spacing w:before="240"/>
      </w:pPr>
      <w:r w:rsidRPr="0083325C">
        <w:t>4</w:t>
      </w:r>
      <w:r w:rsidR="00C84FED" w:rsidRPr="0083325C">
        <w:t>f. Controlling for confounders such as age, gender, disabilities and number of co-morbidities has led the association to increase in magnitude</w:t>
      </w:r>
      <w:r w:rsidRPr="0083325C">
        <w:t xml:space="preserve"> and change direction</w:t>
      </w:r>
      <w:r w:rsidR="00C84FED" w:rsidRPr="0083325C">
        <w:t xml:space="preserve">, likely because one or more of these variables were influencing the association. For example, employees with </w:t>
      </w:r>
      <w:r w:rsidR="00882E4F" w:rsidRPr="0083325C">
        <w:t xml:space="preserve">comorbidities and/or </w:t>
      </w:r>
      <w:r w:rsidR="00C84FED" w:rsidRPr="0083325C">
        <w:t xml:space="preserve">disabilities might </w:t>
      </w:r>
      <w:r w:rsidR="00882E4F" w:rsidRPr="0083325C">
        <w:t xml:space="preserve">benefit greatly from supportive colleagues, </w:t>
      </w:r>
      <w:r w:rsidR="000D086D" w:rsidRPr="0083325C">
        <w:t>so if they have this resource in the workplace, they are more likely to stay on</w:t>
      </w:r>
      <w:r w:rsidR="00C84FED" w:rsidRPr="0083325C">
        <w:t>. The evidence can help explain the mechanism underlying this change in the magnitude of the association, so it is always worth having a quick literature search to understand how the control variables might influence this association.</w:t>
      </w:r>
    </w:p>
    <w:p w14:paraId="09812A63" w14:textId="1C515EC8" w:rsidR="00861F7A" w:rsidRPr="0083325C" w:rsidRDefault="00751CA0" w:rsidP="00751CA0">
      <w:pPr>
        <w:spacing w:before="240"/>
      </w:pPr>
      <w:r w:rsidRPr="0083325C">
        <w:t xml:space="preserve">5. Having a quick literature search can unearth more potential confounding variables. </w:t>
      </w:r>
      <w:r w:rsidR="0065548A" w:rsidRPr="0083325C">
        <w:t>In my search, I have found the following: perceived health status (as opposed to number of co-morbidities</w:t>
      </w:r>
      <w:r w:rsidR="00486459" w:rsidRPr="0083325C">
        <w:t xml:space="preserve">. While the latter might seem a more objective indicator of health, we know that subjective assessments of one’s health status are important, too. For example, someone might feel </w:t>
      </w:r>
      <w:r w:rsidR="001C0991" w:rsidRPr="0083325C">
        <w:t xml:space="preserve">tired and fatigued, which is not necessarily a co-morbidity, but that might impact one’s perceived health status). </w:t>
      </w:r>
      <w:r w:rsidR="000764F3" w:rsidRPr="0083325C">
        <w:t xml:space="preserve">I also found evidence that self-rated work ability, </w:t>
      </w:r>
      <w:r w:rsidR="00CF294C" w:rsidRPr="0083325C">
        <w:t xml:space="preserve">partner retirement, greater </w:t>
      </w:r>
      <w:r w:rsidR="003E3B9F" w:rsidRPr="0083325C">
        <w:t>pension wealth and high alcohol consumption were important predictors of early retirement.</w:t>
      </w:r>
    </w:p>
    <w:p w14:paraId="41FE1605" w14:textId="11638220" w:rsidR="003E3B9F" w:rsidRPr="0083325C" w:rsidRDefault="003E3B9F" w:rsidP="00751CA0">
      <w:pPr>
        <w:spacing w:before="240"/>
      </w:pPr>
      <w:r w:rsidRPr="0083325C">
        <w:t xml:space="preserve">6. The headline is misleading </w:t>
      </w:r>
      <w:r w:rsidR="00666B49" w:rsidRPr="0083325C">
        <w:t xml:space="preserve">because it infers a cause-and-effect relationship between </w:t>
      </w:r>
      <w:r w:rsidR="00103283" w:rsidRPr="0083325C">
        <w:t>line managers’ young age and early retirement,</w:t>
      </w:r>
      <w:r w:rsidR="00666B49" w:rsidRPr="0083325C">
        <w:t xml:space="preserve"> while researchers report an association </w:t>
      </w:r>
      <w:r w:rsidR="00103283" w:rsidRPr="0083325C">
        <w:t xml:space="preserve">between the predictor and outcome. </w:t>
      </w:r>
      <w:r w:rsidR="00554259" w:rsidRPr="0083325C">
        <w:t xml:space="preserve">The article is misleading mainly for two reasons. First, the reporter focuses on the unadjusted odds ratio (1.12) when they mention a 12% difference. If they had considered the adjusted odds ratio, which is a more precise estimate, the </w:t>
      </w:r>
      <w:r w:rsidR="00390875" w:rsidRPr="0083325C">
        <w:t>magnitude of the association</w:t>
      </w:r>
      <w:r w:rsidR="00554259" w:rsidRPr="0083325C">
        <w:t xml:space="preserve"> would be</w:t>
      </w:r>
      <w:r w:rsidR="00390875" w:rsidRPr="0083325C">
        <w:t xml:space="preserve"> smaller -</w:t>
      </w:r>
      <w:r w:rsidR="00554259" w:rsidRPr="0083325C">
        <w:t xml:space="preserve"> 5%</w:t>
      </w:r>
      <w:r w:rsidR="00390875" w:rsidRPr="0083325C">
        <w:t xml:space="preserve">. </w:t>
      </w:r>
      <w:r w:rsidR="008978D5" w:rsidRPr="0083325C">
        <w:t xml:space="preserve">Second, they focus on the relative risk rather than the absolute, </w:t>
      </w:r>
      <w:r w:rsidR="00D0674F" w:rsidRPr="0083325C">
        <w:t xml:space="preserve">but what if I told you that </w:t>
      </w:r>
      <w:r w:rsidR="00ED598A" w:rsidRPr="0083325C">
        <w:t xml:space="preserve">out of the 6,464 employees who do not </w:t>
      </w:r>
      <w:r w:rsidR="00DB0258" w:rsidRPr="0083325C">
        <w:t xml:space="preserve">have a younger line manager (unexposed group), 567 </w:t>
      </w:r>
      <w:r w:rsidR="00C6052E" w:rsidRPr="0083325C">
        <w:t>(</w:t>
      </w:r>
      <w:r w:rsidR="00532F47" w:rsidRPr="0083325C">
        <w:t>8</w:t>
      </w:r>
      <w:r w:rsidR="00C6052E" w:rsidRPr="0083325C">
        <w:t>.</w:t>
      </w:r>
      <w:r w:rsidR="00532F47" w:rsidRPr="0083325C">
        <w:t>7</w:t>
      </w:r>
      <w:r w:rsidR="00C6052E" w:rsidRPr="0083325C">
        <w:t xml:space="preserve">%) </w:t>
      </w:r>
      <w:r w:rsidR="00DB0258" w:rsidRPr="0083325C">
        <w:t>report intentions to retire early</w:t>
      </w:r>
      <w:r w:rsidR="00FA3358" w:rsidRPr="0083325C">
        <w:t xml:space="preserve">, and out of the 4,881 who report having a younger line manager (exposed group), </w:t>
      </w:r>
      <w:r w:rsidR="00C6052E" w:rsidRPr="0083325C">
        <w:t xml:space="preserve">492 </w:t>
      </w:r>
      <w:r w:rsidR="008A7812" w:rsidRPr="0083325C">
        <w:t xml:space="preserve">(10%) </w:t>
      </w:r>
      <w:r w:rsidR="00C6052E" w:rsidRPr="0083325C">
        <w:t xml:space="preserve">report having a younger </w:t>
      </w:r>
      <w:r w:rsidR="00C6052E" w:rsidRPr="0083325C">
        <w:lastRenderedPageBreak/>
        <w:t xml:space="preserve">line manager? </w:t>
      </w:r>
      <w:proofErr w:type="gramStart"/>
      <w:r w:rsidR="00B528FD" w:rsidRPr="0083325C">
        <w:t xml:space="preserve">All of a </w:t>
      </w:r>
      <w:r w:rsidR="00D82071" w:rsidRPr="0083325C">
        <w:t>sudden</w:t>
      </w:r>
      <w:proofErr w:type="gramEnd"/>
      <w:r w:rsidR="00D82071" w:rsidRPr="0083325C">
        <w:t>,</w:t>
      </w:r>
      <w:r w:rsidR="00B528FD" w:rsidRPr="0083325C">
        <w:t xml:space="preserve"> these figures look less sensational, especially given that the</w:t>
      </w:r>
      <w:r w:rsidR="0027096E" w:rsidRPr="0083325C">
        <w:t xml:space="preserve"> proportion of people who report intentions to retire early in both groups are low to start with</w:t>
      </w:r>
      <w:r w:rsidR="00B528FD" w:rsidRPr="0083325C">
        <w:t xml:space="preserve">. </w:t>
      </w:r>
      <w:r w:rsidR="00103283" w:rsidRPr="0083325C">
        <w:t xml:space="preserve"> </w:t>
      </w:r>
    </w:p>
    <w:p w14:paraId="71E9E959" w14:textId="77777777" w:rsidR="00B17E83" w:rsidRPr="0083325C" w:rsidRDefault="00B17E83" w:rsidP="00B17E83">
      <w:pPr>
        <w:pBdr>
          <w:bottom w:val="single" w:sz="6" w:space="1" w:color="auto"/>
        </w:pBdr>
      </w:pPr>
    </w:p>
    <w:p w14:paraId="1ED0A21A" w14:textId="27790533" w:rsidR="00B17E83" w:rsidRPr="0083325C" w:rsidRDefault="00F647CF" w:rsidP="00751CA0">
      <w:pPr>
        <w:spacing w:before="240"/>
      </w:pPr>
      <w:r w:rsidRPr="0083325C">
        <w:t xml:space="preserve">You are reading a randomised controlled trial of a hand washing intervention delivered to secondary </w:t>
      </w:r>
      <w:r w:rsidR="00586B6D" w:rsidRPr="0083325C">
        <w:t xml:space="preserve">school students to increase their quality of hand washing. The outcome “quality of hand washing” is measured </w:t>
      </w:r>
      <w:r w:rsidR="00D804A8" w:rsidRPr="0083325C">
        <w:t xml:space="preserve">on a scale ranging from 0 to 10, where 0 </w:t>
      </w:r>
      <w:r w:rsidR="008569F1" w:rsidRPr="0083325C">
        <w:t xml:space="preserve">means </w:t>
      </w:r>
      <w:r w:rsidR="00AF7AE7" w:rsidRPr="0083325C">
        <w:t>“</w:t>
      </w:r>
      <w:r w:rsidR="00FC361B" w:rsidRPr="0083325C">
        <w:t>extremely poor quality”</w:t>
      </w:r>
      <w:r w:rsidR="00D804A8" w:rsidRPr="0083325C">
        <w:t xml:space="preserve"> and 10 </w:t>
      </w:r>
      <w:r w:rsidR="008569F1" w:rsidRPr="0083325C">
        <w:t>mean</w:t>
      </w:r>
      <w:r w:rsidR="00D804A8" w:rsidRPr="0083325C">
        <w:t xml:space="preserve">s </w:t>
      </w:r>
      <w:r w:rsidR="00FC361B" w:rsidRPr="0083325C">
        <w:t>“</w:t>
      </w:r>
      <w:r w:rsidR="008569F1" w:rsidRPr="0083325C">
        <w:t>excellent quality</w:t>
      </w:r>
      <w:r w:rsidR="00FC361B" w:rsidRPr="0083325C">
        <w:t>”</w:t>
      </w:r>
      <w:r w:rsidR="008569F1" w:rsidRPr="0083325C">
        <w:t>.</w:t>
      </w:r>
      <w:r w:rsidR="00FC361B" w:rsidRPr="0083325C">
        <w:t xml:space="preserve"> There are 137 pupils in the sample</w:t>
      </w:r>
      <w:r w:rsidR="006D55BD" w:rsidRPr="0083325C">
        <w:t>.</w:t>
      </w:r>
      <w:r w:rsidR="00FC361B" w:rsidRPr="0083325C">
        <w:t xml:space="preserve"> 67 </w:t>
      </w:r>
      <w:r w:rsidR="006D55BD" w:rsidRPr="0083325C">
        <w:t xml:space="preserve">are </w:t>
      </w:r>
      <w:r w:rsidR="00FC361B" w:rsidRPr="0083325C">
        <w:t>in the control group</w:t>
      </w:r>
      <w:r w:rsidR="006D55BD" w:rsidRPr="0083325C">
        <w:t xml:space="preserve"> and</w:t>
      </w:r>
      <w:r w:rsidR="0082411F" w:rsidRPr="0083325C">
        <w:t xml:space="preserve"> were exposed to standard practice (i.e. hand washing instructions on signage above the sink in school toilets)</w:t>
      </w:r>
      <w:r w:rsidR="006D55BD" w:rsidRPr="0083325C">
        <w:t xml:space="preserve">. The 70 pupils in the intervention group received a hand washing intervention which included workshops, videos </w:t>
      </w:r>
      <w:r w:rsidR="0071568C" w:rsidRPr="0083325C">
        <w:t>and weekly reminders of hand washing techniques on the school app. These are the results:</w:t>
      </w:r>
    </w:p>
    <w:p w14:paraId="57E032FD" w14:textId="5DD3D788" w:rsidR="00044CE0" w:rsidRPr="0083325C" w:rsidRDefault="00044CE0" w:rsidP="00044CE0">
      <w:pPr>
        <w:pStyle w:val="Caption"/>
        <w:keepNext/>
      </w:pPr>
    </w:p>
    <w:tbl>
      <w:tblPr>
        <w:tblW w:w="8222" w:type="dxa"/>
        <w:tblInd w:w="108" w:type="dxa"/>
        <w:tblBorders>
          <w:top w:val="single" w:sz="4" w:space="0" w:color="auto"/>
          <w:bottom w:val="single" w:sz="4" w:space="0" w:color="auto"/>
        </w:tblBorders>
        <w:tblLook w:val="04A0" w:firstRow="1" w:lastRow="0" w:firstColumn="1" w:lastColumn="0" w:noHBand="0" w:noVBand="1"/>
      </w:tblPr>
      <w:tblGrid>
        <w:gridCol w:w="1276"/>
        <w:gridCol w:w="2410"/>
        <w:gridCol w:w="1843"/>
        <w:gridCol w:w="1559"/>
        <w:gridCol w:w="1134"/>
      </w:tblGrid>
      <w:tr w:rsidR="001467F2" w:rsidRPr="0083325C" w14:paraId="456EBB48" w14:textId="77777777" w:rsidTr="005C2D2E">
        <w:trPr>
          <w:trHeight w:val="315"/>
        </w:trPr>
        <w:tc>
          <w:tcPr>
            <w:tcW w:w="1276" w:type="dxa"/>
            <w:shd w:val="clear" w:color="auto" w:fill="auto"/>
            <w:noWrap/>
            <w:vAlign w:val="bottom"/>
          </w:tcPr>
          <w:p w14:paraId="42052E10" w14:textId="77777777" w:rsidR="001467F2" w:rsidRPr="0083325C" w:rsidRDefault="001467F2" w:rsidP="00CA1CC0">
            <w:pPr>
              <w:spacing w:after="0" w:line="240" w:lineRule="auto"/>
              <w:rPr>
                <w:rFonts w:eastAsia="Times New Roman" w:cs="Calibri"/>
                <w:b/>
                <w:bCs/>
                <w:color w:val="000000"/>
                <w:kern w:val="0"/>
                <w:lang w:eastAsia="en-GB"/>
                <w14:ligatures w14:val="none"/>
              </w:rPr>
            </w:pPr>
          </w:p>
        </w:tc>
        <w:tc>
          <w:tcPr>
            <w:tcW w:w="2410" w:type="dxa"/>
            <w:shd w:val="clear" w:color="auto" w:fill="auto"/>
            <w:noWrap/>
            <w:vAlign w:val="bottom"/>
          </w:tcPr>
          <w:p w14:paraId="5BC4EC5C" w14:textId="77777777" w:rsidR="001467F2" w:rsidRPr="0083325C" w:rsidRDefault="001467F2" w:rsidP="00CA1CC0">
            <w:pPr>
              <w:spacing w:after="0" w:line="240" w:lineRule="auto"/>
              <w:rPr>
                <w:rFonts w:eastAsia="Times New Roman" w:cs="Calibri"/>
                <w:b/>
                <w:bCs/>
                <w:color w:val="000000"/>
                <w:kern w:val="0"/>
                <w:lang w:eastAsia="en-GB"/>
                <w14:ligatures w14:val="none"/>
              </w:rPr>
            </w:pPr>
          </w:p>
        </w:tc>
        <w:tc>
          <w:tcPr>
            <w:tcW w:w="4536" w:type="dxa"/>
            <w:gridSpan w:val="3"/>
            <w:shd w:val="clear" w:color="auto" w:fill="auto"/>
            <w:noWrap/>
            <w:vAlign w:val="bottom"/>
          </w:tcPr>
          <w:p w14:paraId="349EA6B8" w14:textId="5D3A3C35" w:rsidR="001467F2" w:rsidRPr="0083325C" w:rsidRDefault="001467F2" w:rsidP="00CA1CC0">
            <w:pPr>
              <w:spacing w:after="0" w:line="240" w:lineRule="auto"/>
              <w:rPr>
                <w:rFonts w:eastAsia="Times New Roman" w:cs="Calibri"/>
                <w:b/>
                <w:bCs/>
                <w:color w:val="000000"/>
                <w:kern w:val="0"/>
                <w:lang w:eastAsia="en-GB"/>
                <w14:ligatures w14:val="none"/>
              </w:rPr>
            </w:pPr>
            <w:r w:rsidRPr="0083325C">
              <w:rPr>
                <w:rFonts w:eastAsia="Times New Roman" w:cs="Calibri"/>
                <w:b/>
                <w:bCs/>
                <w:color w:val="000000"/>
                <w:kern w:val="0"/>
                <w:lang w:eastAsia="en-GB"/>
                <w14:ligatures w14:val="none"/>
              </w:rPr>
              <w:t xml:space="preserve">Hand Washing </w:t>
            </w:r>
            <w:r w:rsidR="0083325C">
              <w:rPr>
                <w:rFonts w:eastAsia="Times New Roman" w:cs="Calibri"/>
                <w:b/>
                <w:bCs/>
                <w:color w:val="000000"/>
                <w:kern w:val="0"/>
                <w:lang w:eastAsia="en-GB"/>
                <w14:ligatures w14:val="none"/>
              </w:rPr>
              <w:t>Quality</w:t>
            </w:r>
          </w:p>
        </w:tc>
      </w:tr>
      <w:tr w:rsidR="00F174F3" w:rsidRPr="0083325C" w14:paraId="46AA548B" w14:textId="77777777" w:rsidTr="00F174F3">
        <w:trPr>
          <w:trHeight w:val="315"/>
        </w:trPr>
        <w:tc>
          <w:tcPr>
            <w:tcW w:w="1276" w:type="dxa"/>
            <w:shd w:val="clear" w:color="auto" w:fill="auto"/>
            <w:noWrap/>
            <w:vAlign w:val="bottom"/>
            <w:hideMark/>
          </w:tcPr>
          <w:p w14:paraId="5F8A951E" w14:textId="77777777" w:rsidR="00CA1CC0" w:rsidRPr="00CA1CC0" w:rsidRDefault="00CA1CC0" w:rsidP="00CA1CC0">
            <w:pPr>
              <w:spacing w:after="0" w:line="240" w:lineRule="auto"/>
              <w:rPr>
                <w:rFonts w:eastAsia="Times New Roman" w:cs="Calibri"/>
                <w:b/>
                <w:bCs/>
                <w:color w:val="000000"/>
                <w:kern w:val="0"/>
                <w:lang w:eastAsia="en-GB"/>
                <w14:ligatures w14:val="none"/>
              </w:rPr>
            </w:pPr>
            <w:r w:rsidRPr="00CA1CC0">
              <w:rPr>
                <w:rFonts w:eastAsia="Times New Roman" w:cs="Calibri"/>
                <w:b/>
                <w:bCs/>
                <w:color w:val="000000"/>
                <w:kern w:val="0"/>
                <w:lang w:eastAsia="en-GB"/>
                <w14:ligatures w14:val="none"/>
              </w:rPr>
              <w:t>Time Point</w:t>
            </w:r>
          </w:p>
        </w:tc>
        <w:tc>
          <w:tcPr>
            <w:tcW w:w="2410" w:type="dxa"/>
            <w:shd w:val="clear" w:color="auto" w:fill="auto"/>
            <w:noWrap/>
            <w:vAlign w:val="bottom"/>
            <w:hideMark/>
          </w:tcPr>
          <w:p w14:paraId="62879097" w14:textId="77777777" w:rsidR="00CA1CC0" w:rsidRPr="00CA1CC0" w:rsidRDefault="00CA1CC0" w:rsidP="00CA1CC0">
            <w:pPr>
              <w:spacing w:after="0" w:line="240" w:lineRule="auto"/>
              <w:rPr>
                <w:rFonts w:eastAsia="Times New Roman" w:cs="Calibri"/>
                <w:b/>
                <w:bCs/>
                <w:color w:val="000000"/>
                <w:kern w:val="0"/>
                <w:lang w:eastAsia="en-GB"/>
                <w14:ligatures w14:val="none"/>
              </w:rPr>
            </w:pPr>
            <w:r w:rsidRPr="00CA1CC0">
              <w:rPr>
                <w:rFonts w:eastAsia="Times New Roman" w:cs="Calibri"/>
                <w:b/>
                <w:bCs/>
                <w:color w:val="000000"/>
                <w:kern w:val="0"/>
                <w:lang w:eastAsia="en-GB"/>
                <w14:ligatures w14:val="none"/>
              </w:rPr>
              <w:t>Group</w:t>
            </w:r>
          </w:p>
        </w:tc>
        <w:tc>
          <w:tcPr>
            <w:tcW w:w="1843" w:type="dxa"/>
            <w:shd w:val="clear" w:color="auto" w:fill="auto"/>
            <w:noWrap/>
            <w:vAlign w:val="bottom"/>
            <w:hideMark/>
          </w:tcPr>
          <w:p w14:paraId="05C2D1E4" w14:textId="3F5CA267" w:rsidR="00CA1CC0" w:rsidRPr="00CA1CC0" w:rsidRDefault="00CA1CC0" w:rsidP="00CA1CC0">
            <w:pPr>
              <w:spacing w:after="0" w:line="240" w:lineRule="auto"/>
              <w:rPr>
                <w:rFonts w:eastAsia="Times New Roman" w:cs="Calibri"/>
                <w:b/>
                <w:bCs/>
                <w:color w:val="000000"/>
                <w:kern w:val="0"/>
                <w:lang w:eastAsia="en-GB"/>
                <w14:ligatures w14:val="none"/>
              </w:rPr>
            </w:pPr>
            <w:r w:rsidRPr="00CA1CC0">
              <w:rPr>
                <w:rFonts w:eastAsia="Times New Roman" w:cs="Calibri"/>
                <w:b/>
                <w:bCs/>
                <w:color w:val="000000"/>
                <w:kern w:val="0"/>
                <w:lang w:eastAsia="en-GB"/>
                <w14:ligatures w14:val="none"/>
              </w:rPr>
              <w:t xml:space="preserve">Mean </w:t>
            </w:r>
          </w:p>
        </w:tc>
        <w:tc>
          <w:tcPr>
            <w:tcW w:w="1559" w:type="dxa"/>
            <w:shd w:val="clear" w:color="auto" w:fill="auto"/>
            <w:noWrap/>
            <w:vAlign w:val="bottom"/>
            <w:hideMark/>
          </w:tcPr>
          <w:p w14:paraId="1DFAD3EC" w14:textId="77777777" w:rsidR="00CA1CC0" w:rsidRPr="00CA1CC0" w:rsidRDefault="00CA1CC0" w:rsidP="00CA1CC0">
            <w:pPr>
              <w:spacing w:after="0" w:line="240" w:lineRule="auto"/>
              <w:rPr>
                <w:rFonts w:eastAsia="Times New Roman" w:cs="Calibri"/>
                <w:b/>
                <w:bCs/>
                <w:color w:val="000000"/>
                <w:kern w:val="0"/>
                <w:lang w:eastAsia="en-GB"/>
                <w14:ligatures w14:val="none"/>
              </w:rPr>
            </w:pPr>
            <w:r w:rsidRPr="00CA1CC0">
              <w:rPr>
                <w:rFonts w:eastAsia="Times New Roman" w:cs="Calibri"/>
                <w:b/>
                <w:bCs/>
                <w:color w:val="000000"/>
                <w:kern w:val="0"/>
                <w:lang w:eastAsia="en-GB"/>
                <w14:ligatures w14:val="none"/>
              </w:rPr>
              <w:t>Standard Deviation</w:t>
            </w:r>
          </w:p>
        </w:tc>
        <w:tc>
          <w:tcPr>
            <w:tcW w:w="1134" w:type="dxa"/>
            <w:shd w:val="clear" w:color="auto" w:fill="auto"/>
            <w:noWrap/>
            <w:vAlign w:val="bottom"/>
            <w:hideMark/>
          </w:tcPr>
          <w:p w14:paraId="3AA0D223" w14:textId="77777777" w:rsidR="00CA1CC0" w:rsidRPr="00CA1CC0" w:rsidRDefault="00CA1CC0" w:rsidP="00CA1CC0">
            <w:pPr>
              <w:spacing w:after="0" w:line="240" w:lineRule="auto"/>
              <w:rPr>
                <w:rFonts w:eastAsia="Times New Roman" w:cs="Calibri"/>
                <w:b/>
                <w:bCs/>
                <w:color w:val="000000"/>
                <w:kern w:val="0"/>
                <w:lang w:eastAsia="en-GB"/>
                <w14:ligatures w14:val="none"/>
              </w:rPr>
            </w:pPr>
            <w:r w:rsidRPr="00CA1CC0">
              <w:rPr>
                <w:rFonts w:eastAsia="Times New Roman" w:cs="Calibri"/>
                <w:b/>
                <w:bCs/>
                <w:color w:val="000000"/>
                <w:kern w:val="0"/>
                <w:lang w:eastAsia="en-GB"/>
                <w14:ligatures w14:val="none"/>
              </w:rPr>
              <w:t>p-value</w:t>
            </w:r>
          </w:p>
        </w:tc>
      </w:tr>
      <w:tr w:rsidR="00F174F3" w:rsidRPr="0083325C" w14:paraId="7627AB4D" w14:textId="77777777" w:rsidTr="00F174F3">
        <w:trPr>
          <w:trHeight w:val="315"/>
        </w:trPr>
        <w:tc>
          <w:tcPr>
            <w:tcW w:w="1276" w:type="dxa"/>
            <w:shd w:val="clear" w:color="auto" w:fill="auto"/>
            <w:noWrap/>
            <w:vAlign w:val="bottom"/>
            <w:hideMark/>
          </w:tcPr>
          <w:p w14:paraId="0F7A2B72" w14:textId="77777777" w:rsidR="00CA1CC0" w:rsidRPr="00CA1CC0" w:rsidRDefault="00CA1CC0" w:rsidP="00CA1CC0">
            <w:pPr>
              <w:spacing w:after="0" w:line="240" w:lineRule="auto"/>
              <w:rPr>
                <w:rFonts w:eastAsia="Times New Roman" w:cs="Calibri"/>
                <w:color w:val="000000"/>
                <w:kern w:val="0"/>
                <w:lang w:eastAsia="en-GB"/>
                <w14:ligatures w14:val="none"/>
              </w:rPr>
            </w:pPr>
            <w:r w:rsidRPr="00CA1CC0">
              <w:rPr>
                <w:rFonts w:eastAsia="Times New Roman" w:cs="Calibri"/>
                <w:color w:val="000000"/>
                <w:kern w:val="0"/>
                <w:lang w:eastAsia="en-GB"/>
                <w14:ligatures w14:val="none"/>
              </w:rPr>
              <w:t>t0</w:t>
            </w:r>
          </w:p>
        </w:tc>
        <w:tc>
          <w:tcPr>
            <w:tcW w:w="2410" w:type="dxa"/>
            <w:shd w:val="clear" w:color="auto" w:fill="auto"/>
            <w:noWrap/>
            <w:vAlign w:val="bottom"/>
            <w:hideMark/>
          </w:tcPr>
          <w:p w14:paraId="5CE16AD0" w14:textId="77777777" w:rsidR="00CA1CC0" w:rsidRPr="00CA1CC0" w:rsidRDefault="00CA1CC0" w:rsidP="00CA1CC0">
            <w:pPr>
              <w:spacing w:after="0" w:line="240" w:lineRule="auto"/>
              <w:rPr>
                <w:rFonts w:eastAsia="Times New Roman" w:cs="Calibri"/>
                <w:color w:val="000000"/>
                <w:kern w:val="0"/>
                <w:lang w:eastAsia="en-GB"/>
                <w14:ligatures w14:val="none"/>
              </w:rPr>
            </w:pPr>
            <w:r w:rsidRPr="00CA1CC0">
              <w:rPr>
                <w:rFonts w:eastAsia="Times New Roman" w:cs="Calibri"/>
                <w:color w:val="000000"/>
                <w:kern w:val="0"/>
                <w:lang w:eastAsia="en-GB"/>
                <w14:ligatures w14:val="none"/>
              </w:rPr>
              <w:t>Control (n=67)</w:t>
            </w:r>
          </w:p>
        </w:tc>
        <w:tc>
          <w:tcPr>
            <w:tcW w:w="1843" w:type="dxa"/>
            <w:shd w:val="clear" w:color="auto" w:fill="auto"/>
            <w:noWrap/>
            <w:vAlign w:val="bottom"/>
            <w:hideMark/>
          </w:tcPr>
          <w:p w14:paraId="4ECB8275" w14:textId="77777777" w:rsidR="00CA1CC0" w:rsidRPr="00CA1CC0" w:rsidRDefault="00CA1CC0" w:rsidP="00CA1CC0">
            <w:pPr>
              <w:spacing w:after="0" w:line="240" w:lineRule="auto"/>
              <w:rPr>
                <w:rFonts w:eastAsia="Times New Roman" w:cs="Calibri"/>
                <w:color w:val="000000"/>
                <w:kern w:val="0"/>
                <w:lang w:eastAsia="en-GB"/>
                <w14:ligatures w14:val="none"/>
              </w:rPr>
            </w:pPr>
            <w:r w:rsidRPr="00CA1CC0">
              <w:rPr>
                <w:rFonts w:eastAsia="Times New Roman" w:cs="Calibri"/>
                <w:color w:val="000000"/>
                <w:kern w:val="0"/>
                <w:lang w:eastAsia="en-GB"/>
                <w14:ligatures w14:val="none"/>
              </w:rPr>
              <w:t>4.5</w:t>
            </w:r>
          </w:p>
        </w:tc>
        <w:tc>
          <w:tcPr>
            <w:tcW w:w="1559" w:type="dxa"/>
            <w:shd w:val="clear" w:color="auto" w:fill="auto"/>
            <w:noWrap/>
            <w:vAlign w:val="bottom"/>
            <w:hideMark/>
          </w:tcPr>
          <w:p w14:paraId="7058949F" w14:textId="77777777" w:rsidR="00CA1CC0" w:rsidRPr="00CA1CC0" w:rsidRDefault="00CA1CC0" w:rsidP="00CA1CC0">
            <w:pPr>
              <w:spacing w:after="0" w:line="240" w:lineRule="auto"/>
              <w:rPr>
                <w:rFonts w:eastAsia="Times New Roman" w:cs="Calibri"/>
                <w:color w:val="000000"/>
                <w:kern w:val="0"/>
                <w:lang w:eastAsia="en-GB"/>
                <w14:ligatures w14:val="none"/>
              </w:rPr>
            </w:pPr>
            <w:r w:rsidRPr="00CA1CC0">
              <w:rPr>
                <w:rFonts w:eastAsia="Times New Roman" w:cs="Calibri"/>
                <w:color w:val="000000"/>
                <w:kern w:val="0"/>
                <w:lang w:eastAsia="en-GB"/>
                <w14:ligatures w14:val="none"/>
              </w:rPr>
              <w:t>1.2</w:t>
            </w:r>
          </w:p>
        </w:tc>
        <w:tc>
          <w:tcPr>
            <w:tcW w:w="1134" w:type="dxa"/>
            <w:shd w:val="clear" w:color="auto" w:fill="auto"/>
            <w:noWrap/>
            <w:vAlign w:val="bottom"/>
            <w:hideMark/>
          </w:tcPr>
          <w:p w14:paraId="114A9AF7" w14:textId="77777777" w:rsidR="00CA1CC0" w:rsidRPr="00CA1CC0" w:rsidRDefault="00CA1CC0" w:rsidP="00CA1CC0">
            <w:pPr>
              <w:spacing w:after="0" w:line="240" w:lineRule="auto"/>
              <w:rPr>
                <w:rFonts w:eastAsia="Times New Roman" w:cs="Calibri"/>
                <w:color w:val="000000"/>
                <w:kern w:val="0"/>
                <w:lang w:eastAsia="en-GB"/>
                <w14:ligatures w14:val="none"/>
              </w:rPr>
            </w:pPr>
          </w:p>
        </w:tc>
      </w:tr>
      <w:tr w:rsidR="00F174F3" w:rsidRPr="0083325C" w14:paraId="1A8F616E" w14:textId="77777777" w:rsidTr="00F174F3">
        <w:trPr>
          <w:trHeight w:val="315"/>
        </w:trPr>
        <w:tc>
          <w:tcPr>
            <w:tcW w:w="1276" w:type="dxa"/>
            <w:shd w:val="clear" w:color="auto" w:fill="auto"/>
            <w:noWrap/>
            <w:vAlign w:val="bottom"/>
            <w:hideMark/>
          </w:tcPr>
          <w:p w14:paraId="6AE3A44D" w14:textId="77777777" w:rsidR="00CA1CC0" w:rsidRPr="00CA1CC0" w:rsidRDefault="00CA1CC0" w:rsidP="00CA1CC0">
            <w:pPr>
              <w:spacing w:after="0" w:line="240" w:lineRule="auto"/>
              <w:rPr>
                <w:rFonts w:eastAsia="Times New Roman" w:cs="Times New Roman"/>
                <w:kern w:val="0"/>
                <w:lang w:eastAsia="en-GB"/>
                <w14:ligatures w14:val="none"/>
              </w:rPr>
            </w:pPr>
          </w:p>
        </w:tc>
        <w:tc>
          <w:tcPr>
            <w:tcW w:w="2410" w:type="dxa"/>
            <w:shd w:val="clear" w:color="auto" w:fill="auto"/>
            <w:noWrap/>
            <w:vAlign w:val="bottom"/>
            <w:hideMark/>
          </w:tcPr>
          <w:p w14:paraId="3A231D94" w14:textId="77777777" w:rsidR="00CA1CC0" w:rsidRPr="00CA1CC0" w:rsidRDefault="00CA1CC0" w:rsidP="00CA1CC0">
            <w:pPr>
              <w:spacing w:after="0" w:line="240" w:lineRule="auto"/>
              <w:rPr>
                <w:rFonts w:eastAsia="Times New Roman" w:cs="Calibri"/>
                <w:color w:val="000000"/>
                <w:kern w:val="0"/>
                <w:lang w:eastAsia="en-GB"/>
                <w14:ligatures w14:val="none"/>
              </w:rPr>
            </w:pPr>
            <w:r w:rsidRPr="00CA1CC0">
              <w:rPr>
                <w:rFonts w:eastAsia="Times New Roman" w:cs="Calibri"/>
                <w:color w:val="000000"/>
                <w:kern w:val="0"/>
                <w:lang w:eastAsia="en-GB"/>
                <w14:ligatures w14:val="none"/>
              </w:rPr>
              <w:t>Intervention (n=70)</w:t>
            </w:r>
          </w:p>
        </w:tc>
        <w:tc>
          <w:tcPr>
            <w:tcW w:w="1843" w:type="dxa"/>
            <w:shd w:val="clear" w:color="auto" w:fill="auto"/>
            <w:noWrap/>
            <w:vAlign w:val="bottom"/>
            <w:hideMark/>
          </w:tcPr>
          <w:p w14:paraId="70327720" w14:textId="77777777" w:rsidR="00CA1CC0" w:rsidRPr="00CA1CC0" w:rsidRDefault="00CA1CC0" w:rsidP="00CA1CC0">
            <w:pPr>
              <w:spacing w:after="0" w:line="240" w:lineRule="auto"/>
              <w:rPr>
                <w:rFonts w:eastAsia="Times New Roman" w:cs="Calibri"/>
                <w:color w:val="000000"/>
                <w:kern w:val="0"/>
                <w:lang w:eastAsia="en-GB"/>
                <w14:ligatures w14:val="none"/>
              </w:rPr>
            </w:pPr>
            <w:r w:rsidRPr="00CA1CC0">
              <w:rPr>
                <w:rFonts w:eastAsia="Times New Roman" w:cs="Calibri"/>
                <w:color w:val="000000"/>
                <w:kern w:val="0"/>
                <w:lang w:eastAsia="en-GB"/>
                <w14:ligatures w14:val="none"/>
              </w:rPr>
              <w:t>4.6</w:t>
            </w:r>
          </w:p>
        </w:tc>
        <w:tc>
          <w:tcPr>
            <w:tcW w:w="1559" w:type="dxa"/>
            <w:shd w:val="clear" w:color="auto" w:fill="auto"/>
            <w:noWrap/>
            <w:vAlign w:val="bottom"/>
            <w:hideMark/>
          </w:tcPr>
          <w:p w14:paraId="5B1107F3" w14:textId="77777777" w:rsidR="00CA1CC0" w:rsidRPr="00CA1CC0" w:rsidRDefault="00CA1CC0" w:rsidP="00CA1CC0">
            <w:pPr>
              <w:spacing w:after="0" w:line="240" w:lineRule="auto"/>
              <w:rPr>
                <w:rFonts w:eastAsia="Times New Roman" w:cs="Calibri"/>
                <w:color w:val="000000"/>
                <w:kern w:val="0"/>
                <w:lang w:eastAsia="en-GB"/>
                <w14:ligatures w14:val="none"/>
              </w:rPr>
            </w:pPr>
            <w:r w:rsidRPr="00CA1CC0">
              <w:rPr>
                <w:rFonts w:eastAsia="Times New Roman" w:cs="Calibri"/>
                <w:color w:val="000000"/>
                <w:kern w:val="0"/>
                <w:lang w:eastAsia="en-GB"/>
                <w14:ligatures w14:val="none"/>
              </w:rPr>
              <w:t>1.3</w:t>
            </w:r>
          </w:p>
        </w:tc>
        <w:tc>
          <w:tcPr>
            <w:tcW w:w="1134" w:type="dxa"/>
            <w:shd w:val="clear" w:color="auto" w:fill="auto"/>
            <w:noWrap/>
            <w:vAlign w:val="bottom"/>
            <w:hideMark/>
          </w:tcPr>
          <w:p w14:paraId="376AE2E6" w14:textId="784FA8F2" w:rsidR="00CA1CC0" w:rsidRPr="00CA1CC0" w:rsidRDefault="00CA1CC0" w:rsidP="00CA1CC0">
            <w:pPr>
              <w:spacing w:after="0" w:line="240" w:lineRule="auto"/>
              <w:rPr>
                <w:rFonts w:eastAsia="Times New Roman" w:cs="Calibri"/>
                <w:color w:val="000000"/>
                <w:kern w:val="0"/>
                <w:lang w:eastAsia="en-GB"/>
                <w14:ligatures w14:val="none"/>
              </w:rPr>
            </w:pPr>
            <w:r w:rsidRPr="00CA1CC0">
              <w:rPr>
                <w:rFonts w:eastAsia="Times New Roman" w:cs="Calibri"/>
                <w:color w:val="000000"/>
                <w:kern w:val="0"/>
                <w:lang w:eastAsia="en-GB"/>
                <w14:ligatures w14:val="none"/>
              </w:rPr>
              <w:t>.78</w:t>
            </w:r>
          </w:p>
        </w:tc>
      </w:tr>
      <w:tr w:rsidR="00F174F3" w:rsidRPr="0083325C" w14:paraId="20CD804F" w14:textId="77777777" w:rsidTr="00F174F3">
        <w:trPr>
          <w:trHeight w:val="315"/>
        </w:trPr>
        <w:tc>
          <w:tcPr>
            <w:tcW w:w="1276" w:type="dxa"/>
            <w:shd w:val="clear" w:color="auto" w:fill="auto"/>
            <w:noWrap/>
            <w:vAlign w:val="bottom"/>
            <w:hideMark/>
          </w:tcPr>
          <w:p w14:paraId="09998491" w14:textId="77777777" w:rsidR="00CA1CC0" w:rsidRPr="00CA1CC0" w:rsidRDefault="00CA1CC0" w:rsidP="00CA1CC0">
            <w:pPr>
              <w:spacing w:after="0" w:line="240" w:lineRule="auto"/>
              <w:rPr>
                <w:rFonts w:eastAsia="Times New Roman" w:cs="Calibri"/>
                <w:color w:val="000000"/>
                <w:kern w:val="0"/>
                <w:lang w:eastAsia="en-GB"/>
                <w14:ligatures w14:val="none"/>
              </w:rPr>
            </w:pPr>
            <w:r w:rsidRPr="00CA1CC0">
              <w:rPr>
                <w:rFonts w:eastAsia="Times New Roman" w:cs="Calibri"/>
                <w:color w:val="000000"/>
                <w:kern w:val="0"/>
                <w:lang w:eastAsia="en-GB"/>
                <w14:ligatures w14:val="none"/>
              </w:rPr>
              <w:t>t1</w:t>
            </w:r>
          </w:p>
        </w:tc>
        <w:tc>
          <w:tcPr>
            <w:tcW w:w="2410" w:type="dxa"/>
            <w:shd w:val="clear" w:color="auto" w:fill="auto"/>
            <w:noWrap/>
            <w:vAlign w:val="bottom"/>
            <w:hideMark/>
          </w:tcPr>
          <w:p w14:paraId="617F6CB7" w14:textId="77777777" w:rsidR="00CA1CC0" w:rsidRPr="00CA1CC0" w:rsidRDefault="00CA1CC0" w:rsidP="00CA1CC0">
            <w:pPr>
              <w:spacing w:after="0" w:line="240" w:lineRule="auto"/>
              <w:rPr>
                <w:rFonts w:eastAsia="Times New Roman" w:cs="Calibri"/>
                <w:color w:val="000000"/>
                <w:kern w:val="0"/>
                <w:lang w:eastAsia="en-GB"/>
                <w14:ligatures w14:val="none"/>
              </w:rPr>
            </w:pPr>
            <w:r w:rsidRPr="00CA1CC0">
              <w:rPr>
                <w:rFonts w:eastAsia="Times New Roman" w:cs="Calibri"/>
                <w:color w:val="000000"/>
                <w:kern w:val="0"/>
                <w:lang w:eastAsia="en-GB"/>
                <w14:ligatures w14:val="none"/>
              </w:rPr>
              <w:t>Control (n=67)</w:t>
            </w:r>
          </w:p>
        </w:tc>
        <w:tc>
          <w:tcPr>
            <w:tcW w:w="1843" w:type="dxa"/>
            <w:shd w:val="clear" w:color="auto" w:fill="auto"/>
            <w:noWrap/>
            <w:vAlign w:val="bottom"/>
            <w:hideMark/>
          </w:tcPr>
          <w:p w14:paraId="707A919A" w14:textId="77777777" w:rsidR="00CA1CC0" w:rsidRPr="00CA1CC0" w:rsidRDefault="00CA1CC0" w:rsidP="00CA1CC0">
            <w:pPr>
              <w:spacing w:after="0" w:line="240" w:lineRule="auto"/>
              <w:rPr>
                <w:rFonts w:eastAsia="Times New Roman" w:cs="Calibri"/>
                <w:color w:val="000000"/>
                <w:kern w:val="0"/>
                <w:lang w:eastAsia="en-GB"/>
                <w14:ligatures w14:val="none"/>
              </w:rPr>
            </w:pPr>
            <w:r w:rsidRPr="00CA1CC0">
              <w:rPr>
                <w:rFonts w:eastAsia="Times New Roman" w:cs="Calibri"/>
                <w:color w:val="000000"/>
                <w:kern w:val="0"/>
                <w:lang w:eastAsia="en-GB"/>
                <w14:ligatures w14:val="none"/>
              </w:rPr>
              <w:t>5.0</w:t>
            </w:r>
          </w:p>
        </w:tc>
        <w:tc>
          <w:tcPr>
            <w:tcW w:w="1559" w:type="dxa"/>
            <w:shd w:val="clear" w:color="auto" w:fill="auto"/>
            <w:noWrap/>
            <w:vAlign w:val="bottom"/>
            <w:hideMark/>
          </w:tcPr>
          <w:p w14:paraId="2930BB15" w14:textId="77777777" w:rsidR="00CA1CC0" w:rsidRPr="00CA1CC0" w:rsidRDefault="00CA1CC0" w:rsidP="00CA1CC0">
            <w:pPr>
              <w:spacing w:after="0" w:line="240" w:lineRule="auto"/>
              <w:rPr>
                <w:rFonts w:eastAsia="Times New Roman" w:cs="Calibri"/>
                <w:color w:val="000000"/>
                <w:kern w:val="0"/>
                <w:lang w:eastAsia="en-GB"/>
                <w14:ligatures w14:val="none"/>
              </w:rPr>
            </w:pPr>
            <w:r w:rsidRPr="00CA1CC0">
              <w:rPr>
                <w:rFonts w:eastAsia="Times New Roman" w:cs="Calibri"/>
                <w:color w:val="000000"/>
                <w:kern w:val="0"/>
                <w:lang w:eastAsia="en-GB"/>
                <w14:ligatures w14:val="none"/>
              </w:rPr>
              <w:t>1.1</w:t>
            </w:r>
          </w:p>
        </w:tc>
        <w:tc>
          <w:tcPr>
            <w:tcW w:w="1134" w:type="dxa"/>
            <w:shd w:val="clear" w:color="auto" w:fill="auto"/>
            <w:noWrap/>
            <w:vAlign w:val="bottom"/>
            <w:hideMark/>
          </w:tcPr>
          <w:p w14:paraId="4D85CB1A" w14:textId="77777777" w:rsidR="00CA1CC0" w:rsidRPr="00CA1CC0" w:rsidRDefault="00CA1CC0" w:rsidP="00CA1CC0">
            <w:pPr>
              <w:spacing w:after="0" w:line="240" w:lineRule="auto"/>
              <w:rPr>
                <w:rFonts w:eastAsia="Times New Roman" w:cs="Calibri"/>
                <w:color w:val="000000"/>
                <w:kern w:val="0"/>
                <w:lang w:eastAsia="en-GB"/>
                <w14:ligatures w14:val="none"/>
              </w:rPr>
            </w:pPr>
          </w:p>
        </w:tc>
      </w:tr>
      <w:tr w:rsidR="00F174F3" w:rsidRPr="0083325C" w14:paraId="199CF18C" w14:textId="77777777" w:rsidTr="00F174F3">
        <w:trPr>
          <w:trHeight w:val="315"/>
        </w:trPr>
        <w:tc>
          <w:tcPr>
            <w:tcW w:w="1276" w:type="dxa"/>
            <w:shd w:val="clear" w:color="auto" w:fill="auto"/>
            <w:noWrap/>
            <w:vAlign w:val="bottom"/>
            <w:hideMark/>
          </w:tcPr>
          <w:p w14:paraId="06C024B4" w14:textId="77777777" w:rsidR="00CA1CC0" w:rsidRPr="00CA1CC0" w:rsidRDefault="00CA1CC0" w:rsidP="00CA1CC0">
            <w:pPr>
              <w:spacing w:after="0" w:line="240" w:lineRule="auto"/>
              <w:rPr>
                <w:rFonts w:eastAsia="Times New Roman" w:cs="Times New Roman"/>
                <w:kern w:val="0"/>
                <w:lang w:eastAsia="en-GB"/>
                <w14:ligatures w14:val="none"/>
              </w:rPr>
            </w:pPr>
          </w:p>
        </w:tc>
        <w:tc>
          <w:tcPr>
            <w:tcW w:w="2410" w:type="dxa"/>
            <w:shd w:val="clear" w:color="auto" w:fill="auto"/>
            <w:noWrap/>
            <w:vAlign w:val="bottom"/>
            <w:hideMark/>
          </w:tcPr>
          <w:p w14:paraId="144CC43E" w14:textId="77777777" w:rsidR="00CA1CC0" w:rsidRPr="00CA1CC0" w:rsidRDefault="00CA1CC0" w:rsidP="00CA1CC0">
            <w:pPr>
              <w:spacing w:after="0" w:line="240" w:lineRule="auto"/>
              <w:rPr>
                <w:rFonts w:eastAsia="Times New Roman" w:cs="Calibri"/>
                <w:color w:val="000000"/>
                <w:kern w:val="0"/>
                <w:lang w:eastAsia="en-GB"/>
                <w14:ligatures w14:val="none"/>
              </w:rPr>
            </w:pPr>
            <w:r w:rsidRPr="00CA1CC0">
              <w:rPr>
                <w:rFonts w:eastAsia="Times New Roman" w:cs="Calibri"/>
                <w:color w:val="000000"/>
                <w:kern w:val="0"/>
                <w:lang w:eastAsia="en-GB"/>
                <w14:ligatures w14:val="none"/>
              </w:rPr>
              <w:t>Intervention (n=70)</w:t>
            </w:r>
          </w:p>
        </w:tc>
        <w:tc>
          <w:tcPr>
            <w:tcW w:w="1843" w:type="dxa"/>
            <w:shd w:val="clear" w:color="auto" w:fill="auto"/>
            <w:noWrap/>
            <w:vAlign w:val="bottom"/>
            <w:hideMark/>
          </w:tcPr>
          <w:p w14:paraId="60113080" w14:textId="77777777" w:rsidR="00CA1CC0" w:rsidRPr="00CA1CC0" w:rsidRDefault="00CA1CC0" w:rsidP="00CA1CC0">
            <w:pPr>
              <w:spacing w:after="0" w:line="240" w:lineRule="auto"/>
              <w:rPr>
                <w:rFonts w:eastAsia="Times New Roman" w:cs="Calibri"/>
                <w:color w:val="000000"/>
                <w:kern w:val="0"/>
                <w:lang w:eastAsia="en-GB"/>
                <w14:ligatures w14:val="none"/>
              </w:rPr>
            </w:pPr>
            <w:r w:rsidRPr="00CA1CC0">
              <w:rPr>
                <w:rFonts w:eastAsia="Times New Roman" w:cs="Calibri"/>
                <w:color w:val="000000"/>
                <w:kern w:val="0"/>
                <w:lang w:eastAsia="en-GB"/>
                <w14:ligatures w14:val="none"/>
              </w:rPr>
              <w:t>6.5</w:t>
            </w:r>
          </w:p>
        </w:tc>
        <w:tc>
          <w:tcPr>
            <w:tcW w:w="1559" w:type="dxa"/>
            <w:shd w:val="clear" w:color="auto" w:fill="auto"/>
            <w:noWrap/>
            <w:vAlign w:val="bottom"/>
            <w:hideMark/>
          </w:tcPr>
          <w:p w14:paraId="0E7E7E43" w14:textId="77777777" w:rsidR="00CA1CC0" w:rsidRPr="00CA1CC0" w:rsidRDefault="00CA1CC0" w:rsidP="00CA1CC0">
            <w:pPr>
              <w:spacing w:after="0" w:line="240" w:lineRule="auto"/>
              <w:rPr>
                <w:rFonts w:eastAsia="Times New Roman" w:cs="Calibri"/>
                <w:color w:val="000000"/>
                <w:kern w:val="0"/>
                <w:lang w:eastAsia="en-GB"/>
                <w14:ligatures w14:val="none"/>
              </w:rPr>
            </w:pPr>
            <w:r w:rsidRPr="00CA1CC0">
              <w:rPr>
                <w:rFonts w:eastAsia="Times New Roman" w:cs="Calibri"/>
                <w:color w:val="000000"/>
                <w:kern w:val="0"/>
                <w:lang w:eastAsia="en-GB"/>
                <w14:ligatures w14:val="none"/>
              </w:rPr>
              <w:t>1.0</w:t>
            </w:r>
          </w:p>
        </w:tc>
        <w:tc>
          <w:tcPr>
            <w:tcW w:w="1134" w:type="dxa"/>
            <w:shd w:val="clear" w:color="auto" w:fill="auto"/>
            <w:noWrap/>
            <w:vAlign w:val="bottom"/>
            <w:hideMark/>
          </w:tcPr>
          <w:p w14:paraId="25BE8910" w14:textId="2311429A" w:rsidR="00CA1CC0" w:rsidRPr="00CA1CC0" w:rsidRDefault="00CA1CC0" w:rsidP="00CA1CC0">
            <w:pPr>
              <w:spacing w:after="0" w:line="240" w:lineRule="auto"/>
              <w:rPr>
                <w:rFonts w:eastAsia="Times New Roman" w:cs="Calibri"/>
                <w:color w:val="000000"/>
                <w:kern w:val="0"/>
                <w:lang w:eastAsia="en-GB"/>
                <w14:ligatures w14:val="none"/>
              </w:rPr>
            </w:pPr>
            <w:r w:rsidRPr="00CA1CC0">
              <w:rPr>
                <w:rFonts w:eastAsia="Times New Roman" w:cs="Calibri"/>
                <w:color w:val="000000"/>
                <w:kern w:val="0"/>
                <w:lang w:eastAsia="en-GB"/>
                <w14:ligatures w14:val="none"/>
              </w:rPr>
              <w:t>&lt;.001</w:t>
            </w:r>
          </w:p>
        </w:tc>
      </w:tr>
      <w:tr w:rsidR="00F174F3" w:rsidRPr="0083325C" w14:paraId="2507C52B" w14:textId="77777777" w:rsidTr="00F174F3">
        <w:trPr>
          <w:trHeight w:val="315"/>
        </w:trPr>
        <w:tc>
          <w:tcPr>
            <w:tcW w:w="1276" w:type="dxa"/>
            <w:shd w:val="clear" w:color="auto" w:fill="auto"/>
            <w:noWrap/>
            <w:vAlign w:val="bottom"/>
            <w:hideMark/>
          </w:tcPr>
          <w:p w14:paraId="34EB4D52" w14:textId="77777777" w:rsidR="00CA1CC0" w:rsidRPr="00CA1CC0" w:rsidRDefault="00CA1CC0" w:rsidP="00CA1CC0">
            <w:pPr>
              <w:spacing w:after="0" w:line="240" w:lineRule="auto"/>
              <w:rPr>
                <w:rFonts w:eastAsia="Times New Roman" w:cs="Calibri"/>
                <w:color w:val="000000"/>
                <w:kern w:val="0"/>
                <w:lang w:eastAsia="en-GB"/>
                <w14:ligatures w14:val="none"/>
              </w:rPr>
            </w:pPr>
            <w:r w:rsidRPr="00CA1CC0">
              <w:rPr>
                <w:rFonts w:eastAsia="Times New Roman" w:cs="Calibri"/>
                <w:color w:val="000000"/>
                <w:kern w:val="0"/>
                <w:lang w:eastAsia="en-GB"/>
                <w14:ligatures w14:val="none"/>
              </w:rPr>
              <w:t>t2</w:t>
            </w:r>
          </w:p>
        </w:tc>
        <w:tc>
          <w:tcPr>
            <w:tcW w:w="2410" w:type="dxa"/>
            <w:shd w:val="clear" w:color="auto" w:fill="auto"/>
            <w:noWrap/>
            <w:vAlign w:val="bottom"/>
            <w:hideMark/>
          </w:tcPr>
          <w:p w14:paraId="420204E0" w14:textId="77777777" w:rsidR="00CA1CC0" w:rsidRPr="00CA1CC0" w:rsidRDefault="00CA1CC0" w:rsidP="00CA1CC0">
            <w:pPr>
              <w:spacing w:after="0" w:line="240" w:lineRule="auto"/>
              <w:rPr>
                <w:rFonts w:eastAsia="Times New Roman" w:cs="Calibri"/>
                <w:color w:val="000000"/>
                <w:kern w:val="0"/>
                <w:lang w:eastAsia="en-GB"/>
                <w14:ligatures w14:val="none"/>
              </w:rPr>
            </w:pPr>
            <w:r w:rsidRPr="00CA1CC0">
              <w:rPr>
                <w:rFonts w:eastAsia="Times New Roman" w:cs="Calibri"/>
                <w:color w:val="000000"/>
                <w:kern w:val="0"/>
                <w:lang w:eastAsia="en-GB"/>
                <w14:ligatures w14:val="none"/>
              </w:rPr>
              <w:t>Control (n=67)</w:t>
            </w:r>
          </w:p>
        </w:tc>
        <w:tc>
          <w:tcPr>
            <w:tcW w:w="1843" w:type="dxa"/>
            <w:shd w:val="clear" w:color="auto" w:fill="auto"/>
            <w:noWrap/>
            <w:vAlign w:val="bottom"/>
            <w:hideMark/>
          </w:tcPr>
          <w:p w14:paraId="6281E728" w14:textId="77777777" w:rsidR="00CA1CC0" w:rsidRPr="00CA1CC0" w:rsidRDefault="00CA1CC0" w:rsidP="00CA1CC0">
            <w:pPr>
              <w:spacing w:after="0" w:line="240" w:lineRule="auto"/>
              <w:rPr>
                <w:rFonts w:eastAsia="Times New Roman" w:cs="Calibri"/>
                <w:color w:val="000000"/>
                <w:kern w:val="0"/>
                <w:lang w:eastAsia="en-GB"/>
                <w14:ligatures w14:val="none"/>
              </w:rPr>
            </w:pPr>
            <w:r w:rsidRPr="00CA1CC0">
              <w:rPr>
                <w:rFonts w:eastAsia="Times New Roman" w:cs="Calibri"/>
                <w:color w:val="000000"/>
                <w:kern w:val="0"/>
                <w:lang w:eastAsia="en-GB"/>
                <w14:ligatures w14:val="none"/>
              </w:rPr>
              <w:t>5.2</w:t>
            </w:r>
          </w:p>
        </w:tc>
        <w:tc>
          <w:tcPr>
            <w:tcW w:w="1559" w:type="dxa"/>
            <w:shd w:val="clear" w:color="auto" w:fill="auto"/>
            <w:noWrap/>
            <w:vAlign w:val="bottom"/>
            <w:hideMark/>
          </w:tcPr>
          <w:p w14:paraId="2C8DC4F2" w14:textId="77777777" w:rsidR="00CA1CC0" w:rsidRPr="00CA1CC0" w:rsidRDefault="00CA1CC0" w:rsidP="00CA1CC0">
            <w:pPr>
              <w:spacing w:after="0" w:line="240" w:lineRule="auto"/>
              <w:rPr>
                <w:rFonts w:eastAsia="Times New Roman" w:cs="Calibri"/>
                <w:color w:val="000000"/>
                <w:kern w:val="0"/>
                <w:lang w:eastAsia="en-GB"/>
                <w14:ligatures w14:val="none"/>
              </w:rPr>
            </w:pPr>
            <w:r w:rsidRPr="00CA1CC0">
              <w:rPr>
                <w:rFonts w:eastAsia="Times New Roman" w:cs="Calibri"/>
                <w:color w:val="000000"/>
                <w:kern w:val="0"/>
                <w:lang w:eastAsia="en-GB"/>
                <w14:ligatures w14:val="none"/>
              </w:rPr>
              <w:t>1.2</w:t>
            </w:r>
          </w:p>
        </w:tc>
        <w:tc>
          <w:tcPr>
            <w:tcW w:w="1134" w:type="dxa"/>
            <w:shd w:val="clear" w:color="auto" w:fill="auto"/>
            <w:noWrap/>
            <w:vAlign w:val="bottom"/>
            <w:hideMark/>
          </w:tcPr>
          <w:p w14:paraId="55C94277" w14:textId="77777777" w:rsidR="00CA1CC0" w:rsidRPr="00CA1CC0" w:rsidRDefault="00CA1CC0" w:rsidP="00CA1CC0">
            <w:pPr>
              <w:spacing w:after="0" w:line="240" w:lineRule="auto"/>
              <w:rPr>
                <w:rFonts w:eastAsia="Times New Roman" w:cs="Calibri"/>
                <w:color w:val="000000"/>
                <w:kern w:val="0"/>
                <w:lang w:eastAsia="en-GB"/>
                <w14:ligatures w14:val="none"/>
              </w:rPr>
            </w:pPr>
          </w:p>
        </w:tc>
      </w:tr>
      <w:tr w:rsidR="00F174F3" w:rsidRPr="0083325C" w14:paraId="7CB0A4EC" w14:textId="77777777" w:rsidTr="00F174F3">
        <w:trPr>
          <w:trHeight w:val="315"/>
        </w:trPr>
        <w:tc>
          <w:tcPr>
            <w:tcW w:w="1276" w:type="dxa"/>
            <w:shd w:val="clear" w:color="auto" w:fill="auto"/>
            <w:noWrap/>
            <w:vAlign w:val="bottom"/>
            <w:hideMark/>
          </w:tcPr>
          <w:p w14:paraId="3623D8B7" w14:textId="77777777" w:rsidR="00CA1CC0" w:rsidRPr="00CA1CC0" w:rsidRDefault="00CA1CC0" w:rsidP="00CA1CC0">
            <w:pPr>
              <w:spacing w:after="0" w:line="240" w:lineRule="auto"/>
              <w:rPr>
                <w:rFonts w:eastAsia="Times New Roman" w:cs="Times New Roman"/>
                <w:kern w:val="0"/>
                <w:lang w:eastAsia="en-GB"/>
                <w14:ligatures w14:val="none"/>
              </w:rPr>
            </w:pPr>
          </w:p>
        </w:tc>
        <w:tc>
          <w:tcPr>
            <w:tcW w:w="2410" w:type="dxa"/>
            <w:shd w:val="clear" w:color="auto" w:fill="auto"/>
            <w:noWrap/>
            <w:vAlign w:val="bottom"/>
            <w:hideMark/>
          </w:tcPr>
          <w:p w14:paraId="183DB302" w14:textId="77777777" w:rsidR="00CA1CC0" w:rsidRPr="00CA1CC0" w:rsidRDefault="00CA1CC0" w:rsidP="00CA1CC0">
            <w:pPr>
              <w:spacing w:after="0" w:line="240" w:lineRule="auto"/>
              <w:rPr>
                <w:rFonts w:eastAsia="Times New Roman" w:cs="Calibri"/>
                <w:color w:val="000000"/>
                <w:kern w:val="0"/>
                <w:lang w:eastAsia="en-GB"/>
                <w14:ligatures w14:val="none"/>
              </w:rPr>
            </w:pPr>
            <w:r w:rsidRPr="00CA1CC0">
              <w:rPr>
                <w:rFonts w:eastAsia="Times New Roman" w:cs="Calibri"/>
                <w:color w:val="000000"/>
                <w:kern w:val="0"/>
                <w:lang w:eastAsia="en-GB"/>
                <w14:ligatures w14:val="none"/>
              </w:rPr>
              <w:t>Intervention (n=70)</w:t>
            </w:r>
          </w:p>
        </w:tc>
        <w:tc>
          <w:tcPr>
            <w:tcW w:w="1843" w:type="dxa"/>
            <w:shd w:val="clear" w:color="auto" w:fill="auto"/>
            <w:noWrap/>
            <w:vAlign w:val="bottom"/>
            <w:hideMark/>
          </w:tcPr>
          <w:p w14:paraId="120914FE" w14:textId="4A3DC468" w:rsidR="00CA1CC0" w:rsidRPr="00CA1CC0" w:rsidRDefault="001D2204" w:rsidP="00CA1CC0">
            <w:pPr>
              <w:spacing w:after="0" w:line="240" w:lineRule="auto"/>
              <w:rPr>
                <w:rFonts w:eastAsia="Times New Roman" w:cs="Calibri"/>
                <w:color w:val="000000"/>
                <w:kern w:val="0"/>
                <w:lang w:eastAsia="en-GB"/>
                <w14:ligatures w14:val="none"/>
              </w:rPr>
            </w:pPr>
            <w:r>
              <w:rPr>
                <w:rFonts w:eastAsia="Times New Roman" w:cs="Calibri"/>
                <w:color w:val="000000"/>
                <w:kern w:val="0"/>
                <w:lang w:eastAsia="en-GB"/>
                <w14:ligatures w14:val="none"/>
              </w:rPr>
              <w:t>6</w:t>
            </w:r>
            <w:r w:rsidR="00CA1CC0" w:rsidRPr="00CA1CC0">
              <w:rPr>
                <w:rFonts w:eastAsia="Times New Roman" w:cs="Calibri"/>
                <w:color w:val="000000"/>
                <w:kern w:val="0"/>
                <w:lang w:eastAsia="en-GB"/>
                <w14:ligatures w14:val="none"/>
              </w:rPr>
              <w:t>.8</w:t>
            </w:r>
          </w:p>
        </w:tc>
        <w:tc>
          <w:tcPr>
            <w:tcW w:w="1559" w:type="dxa"/>
            <w:shd w:val="clear" w:color="auto" w:fill="auto"/>
            <w:noWrap/>
            <w:vAlign w:val="bottom"/>
            <w:hideMark/>
          </w:tcPr>
          <w:p w14:paraId="01770FC5" w14:textId="77777777" w:rsidR="00CA1CC0" w:rsidRPr="00CA1CC0" w:rsidRDefault="00CA1CC0" w:rsidP="00CA1CC0">
            <w:pPr>
              <w:spacing w:after="0" w:line="240" w:lineRule="auto"/>
              <w:rPr>
                <w:rFonts w:eastAsia="Times New Roman" w:cs="Calibri"/>
                <w:color w:val="000000"/>
                <w:kern w:val="0"/>
                <w:lang w:eastAsia="en-GB"/>
                <w14:ligatures w14:val="none"/>
              </w:rPr>
            </w:pPr>
            <w:r w:rsidRPr="00CA1CC0">
              <w:rPr>
                <w:rFonts w:eastAsia="Times New Roman" w:cs="Calibri"/>
                <w:color w:val="000000"/>
                <w:kern w:val="0"/>
                <w:lang w:eastAsia="en-GB"/>
                <w14:ligatures w14:val="none"/>
              </w:rPr>
              <w:t>0.9</w:t>
            </w:r>
          </w:p>
        </w:tc>
        <w:tc>
          <w:tcPr>
            <w:tcW w:w="1134" w:type="dxa"/>
            <w:shd w:val="clear" w:color="auto" w:fill="auto"/>
            <w:noWrap/>
            <w:vAlign w:val="bottom"/>
            <w:hideMark/>
          </w:tcPr>
          <w:p w14:paraId="4FA4B495" w14:textId="6834DCFE" w:rsidR="00CA1CC0" w:rsidRPr="00CA1CC0" w:rsidRDefault="00CA1CC0" w:rsidP="00CA1CC0">
            <w:pPr>
              <w:spacing w:after="0" w:line="240" w:lineRule="auto"/>
              <w:rPr>
                <w:rFonts w:eastAsia="Times New Roman" w:cs="Calibri"/>
                <w:color w:val="000000"/>
                <w:kern w:val="0"/>
                <w:lang w:eastAsia="en-GB"/>
                <w14:ligatures w14:val="none"/>
              </w:rPr>
            </w:pPr>
            <w:r w:rsidRPr="00CA1CC0">
              <w:rPr>
                <w:rFonts w:eastAsia="Times New Roman" w:cs="Calibri"/>
                <w:color w:val="000000"/>
                <w:kern w:val="0"/>
                <w:lang w:eastAsia="en-GB"/>
                <w14:ligatures w14:val="none"/>
              </w:rPr>
              <w:t>.01</w:t>
            </w:r>
          </w:p>
        </w:tc>
      </w:tr>
    </w:tbl>
    <w:p w14:paraId="4D3163DA" w14:textId="1738EE4A" w:rsidR="00500ED7" w:rsidRPr="00500ED7" w:rsidRDefault="00500ED7" w:rsidP="00500ED7">
      <w:pPr>
        <w:spacing w:before="240"/>
        <w:rPr>
          <w:b/>
          <w:bCs/>
        </w:rPr>
      </w:pPr>
      <w:r w:rsidRPr="00500ED7">
        <w:rPr>
          <w:b/>
          <w:bCs/>
        </w:rPr>
        <w:t>Questions</w:t>
      </w:r>
    </w:p>
    <w:p w14:paraId="0B44B9DD" w14:textId="7511F6AE" w:rsidR="0071568C" w:rsidRDefault="0083325C" w:rsidP="0083325C">
      <w:pPr>
        <w:pStyle w:val="ListParagraph"/>
        <w:numPr>
          <w:ilvl w:val="0"/>
          <w:numId w:val="6"/>
        </w:numPr>
        <w:spacing w:before="240"/>
      </w:pPr>
      <w:r>
        <w:t>Would you conclude the hand washing intervention was effective? Why?</w:t>
      </w:r>
    </w:p>
    <w:p w14:paraId="4A8F652E" w14:textId="57746BC8" w:rsidR="0083325C" w:rsidRDefault="00C713F2" w:rsidP="0083325C">
      <w:pPr>
        <w:pStyle w:val="ListParagraph"/>
        <w:numPr>
          <w:ilvl w:val="0"/>
          <w:numId w:val="6"/>
        </w:numPr>
        <w:spacing w:before="240"/>
      </w:pPr>
      <w:r>
        <w:t xml:space="preserve">What do you notice about the mean </w:t>
      </w:r>
      <w:r w:rsidR="001D2204">
        <w:t>between intervention and control group across time?</w:t>
      </w:r>
    </w:p>
    <w:p w14:paraId="5DF67F8C" w14:textId="74051256" w:rsidR="003B0A56" w:rsidRDefault="003B0A56" w:rsidP="0083325C">
      <w:pPr>
        <w:pStyle w:val="ListParagraph"/>
        <w:numPr>
          <w:ilvl w:val="0"/>
          <w:numId w:val="6"/>
        </w:numPr>
        <w:spacing w:before="240"/>
      </w:pPr>
      <w:r>
        <w:t xml:space="preserve">Besides statistical significance, what do you make of the </w:t>
      </w:r>
      <w:r w:rsidR="00F24FDD">
        <w:t>importance of the results?</w:t>
      </w:r>
    </w:p>
    <w:p w14:paraId="0BFBA884" w14:textId="118632FB" w:rsidR="00F24FDD" w:rsidRDefault="00F24FDD" w:rsidP="0083325C">
      <w:pPr>
        <w:pStyle w:val="ListParagraph"/>
        <w:numPr>
          <w:ilvl w:val="0"/>
          <w:numId w:val="6"/>
        </w:numPr>
        <w:spacing w:before="240"/>
      </w:pPr>
      <w:r>
        <w:t>Can you think of any variables you might have controlled for in the analysis?</w:t>
      </w:r>
    </w:p>
    <w:p w14:paraId="1ABC32BA" w14:textId="019B79FD" w:rsidR="00F24FDD" w:rsidRDefault="00500ED7" w:rsidP="00500ED7">
      <w:pPr>
        <w:spacing w:before="240"/>
        <w:rPr>
          <w:b/>
          <w:bCs/>
        </w:rPr>
      </w:pPr>
      <w:r w:rsidRPr="00500ED7">
        <w:rPr>
          <w:b/>
          <w:bCs/>
        </w:rPr>
        <w:t>Answers</w:t>
      </w:r>
    </w:p>
    <w:p w14:paraId="510B9EF5" w14:textId="20FB89A9" w:rsidR="00500ED7" w:rsidRDefault="008534A6" w:rsidP="00500ED7">
      <w:pPr>
        <w:pStyle w:val="ListParagraph"/>
        <w:numPr>
          <w:ilvl w:val="0"/>
          <w:numId w:val="7"/>
        </w:numPr>
        <w:spacing w:before="240"/>
      </w:pPr>
      <w:r w:rsidRPr="008534A6">
        <w:t>The han</w:t>
      </w:r>
      <w:r w:rsidR="003669DF">
        <w:t xml:space="preserve">d washing intervention was effective because, while the mean hand washing quality increases in both groups, </w:t>
      </w:r>
      <w:r w:rsidR="00072EE2">
        <w:t>the p-values at t1 at t2 are &lt;.</w:t>
      </w:r>
      <w:r w:rsidR="005D47B1">
        <w:t xml:space="preserve">05, meaning that the mean difference is statistically significant. </w:t>
      </w:r>
    </w:p>
    <w:p w14:paraId="796F0B67" w14:textId="77777777" w:rsidR="00363ECE" w:rsidRDefault="00363ECE" w:rsidP="00500ED7">
      <w:pPr>
        <w:pStyle w:val="ListParagraph"/>
        <w:numPr>
          <w:ilvl w:val="0"/>
          <w:numId w:val="7"/>
        </w:numPr>
        <w:spacing w:before="240"/>
      </w:pPr>
      <w:r w:rsidRPr="00363ECE">
        <w:t>The mean hand washing quality score for the intervention group showed a significant increase from 4.6 at t0 to 6.5 at t1, nearly a two-point improvement. However, the increase from t1 to t2 was smaller, rising only from 6.5 to 6.8 (0.3 points). This suggests that the intervention led to a steep initial improvement in hand washing quality, but the rate of improvement slowed over time.</w:t>
      </w:r>
    </w:p>
    <w:p w14:paraId="10020382" w14:textId="77777777" w:rsidR="002D13E4" w:rsidRDefault="002D13E4" w:rsidP="002D13E4">
      <w:pPr>
        <w:pStyle w:val="ListParagraph"/>
        <w:spacing w:before="240"/>
      </w:pPr>
      <w:r w:rsidRPr="002D13E4">
        <w:t>The timing of t1 and t2 is crucial for interpreting these results. If t1 was 2 weeks after the intervention and t2 was 1 month later, we might be concerned about the sustainability of the effect. Conversely, if t1 was at 3 months and t2 at 9 months, the results would be more reassuring. We could hypothesize that periodic refreshers of the intervention, perhaps every nine months, might help sustain its effectiveness over time.</w:t>
      </w:r>
    </w:p>
    <w:p w14:paraId="029BBEBE" w14:textId="77777777" w:rsidR="00DB6F32" w:rsidRDefault="00DB6F32" w:rsidP="00DB6F32">
      <w:pPr>
        <w:pStyle w:val="ListParagraph"/>
        <w:spacing w:before="240"/>
      </w:pPr>
      <w:r w:rsidRPr="00DB6F32">
        <w:lastRenderedPageBreak/>
        <w:t>The control group also showed a similar pattern, with a larger increase at t1 compared to t2, indicating an overall improvement in hand washing quality. This might be due to increased awareness of the importance of hand washing over time.</w:t>
      </w:r>
    </w:p>
    <w:p w14:paraId="38BA7954" w14:textId="2325617F" w:rsidR="006C3628" w:rsidRDefault="006C3628" w:rsidP="00500ED7">
      <w:pPr>
        <w:pStyle w:val="ListParagraph"/>
        <w:numPr>
          <w:ilvl w:val="0"/>
          <w:numId w:val="7"/>
        </w:numPr>
        <w:spacing w:before="240"/>
      </w:pPr>
      <w:r w:rsidRPr="006C3628">
        <w:t>Besides considerations around timings</w:t>
      </w:r>
      <w:r>
        <w:t xml:space="preserve"> that we raised in the answer above</w:t>
      </w:r>
      <w:r w:rsidRPr="006C3628">
        <w:t>, it is also important to consider the cut-offs for the quality of hand washing scale. If scores below 7 are deemed unsatisfactory, then while the intervention is effective in increasing hand washing quality, the improvement may not be sufficient to justify its implementation.</w:t>
      </w:r>
    </w:p>
    <w:p w14:paraId="390FCF14" w14:textId="2E84CADB" w:rsidR="00866897" w:rsidRDefault="00A74540" w:rsidP="00513FBF">
      <w:pPr>
        <w:pStyle w:val="ListParagraph"/>
        <w:numPr>
          <w:ilvl w:val="0"/>
          <w:numId w:val="7"/>
        </w:numPr>
        <w:spacing w:before="240"/>
      </w:pPr>
      <w:r>
        <w:t xml:space="preserve">Researchers could have controlled for variables that might affect the </w:t>
      </w:r>
      <w:r w:rsidR="00D40EFB">
        <w:t xml:space="preserve">association between the intervention and the outcome, for example, parents’ </w:t>
      </w:r>
      <w:r w:rsidR="00FD2840">
        <w:t xml:space="preserve">professional background. </w:t>
      </w:r>
      <w:r w:rsidR="00727B6D" w:rsidRPr="00727B6D">
        <w:t>For instance, parents working in health, care, or teaching professions might be more aware of the importance of effective hand washing to prevent the spread of germs and could have taught this to their children. Additionally, students’ age is likely a potential confounder, as older students may be more aware of hygiene requirements</w:t>
      </w:r>
      <w:r w:rsidR="00727B6D">
        <w:t xml:space="preserve">. Always check your assumptions through a literature search. </w:t>
      </w:r>
    </w:p>
    <w:p w14:paraId="2D73A7F9" w14:textId="77777777" w:rsidR="003844B6" w:rsidRDefault="003844B6" w:rsidP="003844B6">
      <w:pPr>
        <w:spacing w:before="240"/>
      </w:pPr>
    </w:p>
    <w:p w14:paraId="77949A79" w14:textId="77777777" w:rsidR="003844B6" w:rsidRDefault="003844B6" w:rsidP="003844B6">
      <w:pPr>
        <w:spacing w:before="240"/>
      </w:pPr>
    </w:p>
    <w:p w14:paraId="14293682" w14:textId="77777777" w:rsidR="003844B6" w:rsidRDefault="003844B6" w:rsidP="003844B6">
      <w:pPr>
        <w:spacing w:before="240"/>
      </w:pPr>
    </w:p>
    <w:p w14:paraId="562F7F2E" w14:textId="77777777" w:rsidR="003844B6" w:rsidRDefault="003844B6" w:rsidP="003844B6"/>
    <w:p w14:paraId="772EEF55" w14:textId="77777777" w:rsidR="003844B6" w:rsidRPr="00440813" w:rsidRDefault="003844B6" w:rsidP="003844B6">
      <w:pPr>
        <w:rPr>
          <w:sz w:val="20"/>
          <w:szCs w:val="20"/>
        </w:rPr>
      </w:pPr>
      <w:r w:rsidRPr="00440813">
        <w:rPr>
          <w:sz w:val="20"/>
          <w:szCs w:val="20"/>
        </w:rPr>
        <w:t>National Centre for Research Methods (NCRM)</w:t>
      </w:r>
      <w:r w:rsidRPr="00440813">
        <w:rPr>
          <w:sz w:val="20"/>
          <w:szCs w:val="20"/>
        </w:rPr>
        <w:br/>
        <w:t>Social Sciences</w:t>
      </w:r>
      <w:r w:rsidRPr="00440813">
        <w:rPr>
          <w:sz w:val="20"/>
          <w:szCs w:val="20"/>
        </w:rPr>
        <w:br/>
        <w:t>Murray Building (</w:t>
      </w:r>
      <w:proofErr w:type="spellStart"/>
      <w:r w:rsidRPr="00440813">
        <w:rPr>
          <w:sz w:val="20"/>
          <w:szCs w:val="20"/>
        </w:rPr>
        <w:t>Bldg</w:t>
      </w:r>
      <w:proofErr w:type="spellEnd"/>
      <w:r w:rsidRPr="00440813">
        <w:rPr>
          <w:sz w:val="20"/>
          <w:szCs w:val="20"/>
        </w:rPr>
        <w:t xml:space="preserve"> 58)</w:t>
      </w:r>
      <w:r w:rsidRPr="00440813">
        <w:rPr>
          <w:sz w:val="20"/>
          <w:szCs w:val="20"/>
        </w:rPr>
        <w:br/>
        <w:t>University of Southampton</w:t>
      </w:r>
      <w:r w:rsidRPr="00440813">
        <w:rPr>
          <w:sz w:val="20"/>
          <w:szCs w:val="20"/>
        </w:rPr>
        <w:br/>
      </w:r>
      <w:proofErr w:type="spellStart"/>
      <w:r w:rsidRPr="00440813">
        <w:rPr>
          <w:sz w:val="20"/>
          <w:szCs w:val="20"/>
        </w:rPr>
        <w:t>Southampton</w:t>
      </w:r>
      <w:proofErr w:type="spellEnd"/>
      <w:r w:rsidRPr="00440813">
        <w:rPr>
          <w:sz w:val="20"/>
          <w:szCs w:val="20"/>
        </w:rPr>
        <w:t xml:space="preserve"> SO17 1BJ</w:t>
      </w:r>
      <w:r w:rsidRPr="00440813">
        <w:rPr>
          <w:sz w:val="20"/>
          <w:szCs w:val="20"/>
        </w:rPr>
        <w:br/>
        <w:t>United Kingdom</w:t>
      </w:r>
    </w:p>
    <w:p w14:paraId="5EA09819" w14:textId="77777777" w:rsidR="003844B6" w:rsidRPr="00440813" w:rsidRDefault="003844B6" w:rsidP="003844B6">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465C18C8" w14:textId="77777777" w:rsidR="003844B6" w:rsidRPr="008534A6" w:rsidRDefault="003844B6" w:rsidP="003844B6">
      <w:pPr>
        <w:spacing w:before="240"/>
      </w:pPr>
    </w:p>
    <w:sectPr w:rsidR="003844B6" w:rsidRPr="008534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B5C9D"/>
    <w:multiLevelType w:val="hybridMultilevel"/>
    <w:tmpl w:val="A236893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442CC1"/>
    <w:multiLevelType w:val="hybridMultilevel"/>
    <w:tmpl w:val="CFB26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EB3207"/>
    <w:multiLevelType w:val="hybridMultilevel"/>
    <w:tmpl w:val="BD482820"/>
    <w:lvl w:ilvl="0" w:tplc="9C3290E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C60A30"/>
    <w:multiLevelType w:val="hybridMultilevel"/>
    <w:tmpl w:val="73D4FBF0"/>
    <w:lvl w:ilvl="0" w:tplc="CD5030C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6A2538"/>
    <w:multiLevelType w:val="hybridMultilevel"/>
    <w:tmpl w:val="EF900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CC772A"/>
    <w:multiLevelType w:val="hybridMultilevel"/>
    <w:tmpl w:val="AC72F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0C7AE3"/>
    <w:multiLevelType w:val="hybridMultilevel"/>
    <w:tmpl w:val="A1F480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1151216">
    <w:abstractNumId w:val="0"/>
  </w:num>
  <w:num w:numId="2" w16cid:durableId="999499830">
    <w:abstractNumId w:val="1"/>
  </w:num>
  <w:num w:numId="3" w16cid:durableId="1888683163">
    <w:abstractNumId w:val="2"/>
  </w:num>
  <w:num w:numId="4" w16cid:durableId="1138567990">
    <w:abstractNumId w:val="5"/>
  </w:num>
  <w:num w:numId="5" w16cid:durableId="1552613907">
    <w:abstractNumId w:val="6"/>
  </w:num>
  <w:num w:numId="6" w16cid:durableId="1908413704">
    <w:abstractNumId w:val="4"/>
  </w:num>
  <w:num w:numId="7" w16cid:durableId="1050499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A 11th Copy&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z25saraxzrexjevsw8x9pto22x9azzfvrtt&quot;&gt;My EndNote Chiara-Converted&lt;record-ids&gt;&lt;item&gt;1816&lt;/item&gt;&lt;item&gt;1817&lt;/item&gt;&lt;item&gt;1818&lt;/item&gt;&lt;item&gt;1819&lt;/item&gt;&lt;item&gt;1820&lt;/item&gt;&lt;/record-ids&gt;&lt;/item&gt;&lt;/Libraries&gt;"/>
  </w:docVars>
  <w:rsids>
    <w:rsidRoot w:val="004463DA"/>
    <w:rsid w:val="000048BC"/>
    <w:rsid w:val="0002526A"/>
    <w:rsid w:val="000267F5"/>
    <w:rsid w:val="0003025B"/>
    <w:rsid w:val="00034527"/>
    <w:rsid w:val="00044CE0"/>
    <w:rsid w:val="0004528F"/>
    <w:rsid w:val="000570F5"/>
    <w:rsid w:val="00065B03"/>
    <w:rsid w:val="0007098C"/>
    <w:rsid w:val="00072EE2"/>
    <w:rsid w:val="00074F3F"/>
    <w:rsid w:val="00075796"/>
    <w:rsid w:val="000764F3"/>
    <w:rsid w:val="0008185C"/>
    <w:rsid w:val="00083A3A"/>
    <w:rsid w:val="00085818"/>
    <w:rsid w:val="00092F9E"/>
    <w:rsid w:val="000A7064"/>
    <w:rsid w:val="000A7950"/>
    <w:rsid w:val="000B0E83"/>
    <w:rsid w:val="000B1A49"/>
    <w:rsid w:val="000B3972"/>
    <w:rsid w:val="000B42E0"/>
    <w:rsid w:val="000B72E4"/>
    <w:rsid w:val="000C0D6D"/>
    <w:rsid w:val="000C7080"/>
    <w:rsid w:val="000D086D"/>
    <w:rsid w:val="000D0A91"/>
    <w:rsid w:val="000D45FC"/>
    <w:rsid w:val="000D5D1C"/>
    <w:rsid w:val="000E4D1A"/>
    <w:rsid w:val="000F6E81"/>
    <w:rsid w:val="0010292B"/>
    <w:rsid w:val="00103283"/>
    <w:rsid w:val="001114FE"/>
    <w:rsid w:val="00113835"/>
    <w:rsid w:val="00113AB9"/>
    <w:rsid w:val="001155C8"/>
    <w:rsid w:val="00116981"/>
    <w:rsid w:val="00134318"/>
    <w:rsid w:val="001366C7"/>
    <w:rsid w:val="001368BE"/>
    <w:rsid w:val="00137318"/>
    <w:rsid w:val="001467F2"/>
    <w:rsid w:val="0014706E"/>
    <w:rsid w:val="001473E2"/>
    <w:rsid w:val="0014749A"/>
    <w:rsid w:val="001505E2"/>
    <w:rsid w:val="00162A20"/>
    <w:rsid w:val="00170DF6"/>
    <w:rsid w:val="00190A54"/>
    <w:rsid w:val="00191784"/>
    <w:rsid w:val="0019239E"/>
    <w:rsid w:val="001A6721"/>
    <w:rsid w:val="001B361A"/>
    <w:rsid w:val="001C0991"/>
    <w:rsid w:val="001C72F9"/>
    <w:rsid w:val="001D2204"/>
    <w:rsid w:val="001D5CB8"/>
    <w:rsid w:val="001E4D72"/>
    <w:rsid w:val="001F6684"/>
    <w:rsid w:val="002074BE"/>
    <w:rsid w:val="002143B9"/>
    <w:rsid w:val="00227F5B"/>
    <w:rsid w:val="002334DC"/>
    <w:rsid w:val="0024477C"/>
    <w:rsid w:val="002453D3"/>
    <w:rsid w:val="00250558"/>
    <w:rsid w:val="00253A47"/>
    <w:rsid w:val="00255BDD"/>
    <w:rsid w:val="0027096E"/>
    <w:rsid w:val="002719EF"/>
    <w:rsid w:val="00277683"/>
    <w:rsid w:val="002806F3"/>
    <w:rsid w:val="00283C28"/>
    <w:rsid w:val="00295353"/>
    <w:rsid w:val="002B0EEF"/>
    <w:rsid w:val="002B6CCC"/>
    <w:rsid w:val="002D13E4"/>
    <w:rsid w:val="002F2003"/>
    <w:rsid w:val="00327A1E"/>
    <w:rsid w:val="003433D4"/>
    <w:rsid w:val="0034401F"/>
    <w:rsid w:val="00344FE2"/>
    <w:rsid w:val="00347520"/>
    <w:rsid w:val="00356E41"/>
    <w:rsid w:val="00363ECE"/>
    <w:rsid w:val="003659C3"/>
    <w:rsid w:val="003669DF"/>
    <w:rsid w:val="00367158"/>
    <w:rsid w:val="00375BEA"/>
    <w:rsid w:val="003844B6"/>
    <w:rsid w:val="00385D77"/>
    <w:rsid w:val="00385E54"/>
    <w:rsid w:val="00390875"/>
    <w:rsid w:val="00394B20"/>
    <w:rsid w:val="00394FBA"/>
    <w:rsid w:val="003A7D78"/>
    <w:rsid w:val="003B0A56"/>
    <w:rsid w:val="003B0CAA"/>
    <w:rsid w:val="003B5988"/>
    <w:rsid w:val="003B6E6C"/>
    <w:rsid w:val="003C1C50"/>
    <w:rsid w:val="003D4FA2"/>
    <w:rsid w:val="003E0D63"/>
    <w:rsid w:val="003E3B9F"/>
    <w:rsid w:val="003F1F46"/>
    <w:rsid w:val="003F7E0D"/>
    <w:rsid w:val="004037C4"/>
    <w:rsid w:val="00407E67"/>
    <w:rsid w:val="00415C65"/>
    <w:rsid w:val="00425C7B"/>
    <w:rsid w:val="00446012"/>
    <w:rsid w:val="004463DA"/>
    <w:rsid w:val="00452381"/>
    <w:rsid w:val="0045649F"/>
    <w:rsid w:val="00464EA5"/>
    <w:rsid w:val="0047023F"/>
    <w:rsid w:val="00473901"/>
    <w:rsid w:val="004740E3"/>
    <w:rsid w:val="0047480B"/>
    <w:rsid w:val="00485FAD"/>
    <w:rsid w:val="00486459"/>
    <w:rsid w:val="0048650C"/>
    <w:rsid w:val="00491CA0"/>
    <w:rsid w:val="00493CA1"/>
    <w:rsid w:val="004B1341"/>
    <w:rsid w:val="004B311B"/>
    <w:rsid w:val="004C09F5"/>
    <w:rsid w:val="004C64A3"/>
    <w:rsid w:val="004C7DB2"/>
    <w:rsid w:val="004D1582"/>
    <w:rsid w:val="004E09EB"/>
    <w:rsid w:val="004E4D34"/>
    <w:rsid w:val="004E6D14"/>
    <w:rsid w:val="004E6E16"/>
    <w:rsid w:val="004F0CC5"/>
    <w:rsid w:val="00500ED7"/>
    <w:rsid w:val="00506833"/>
    <w:rsid w:val="00522B69"/>
    <w:rsid w:val="0052389B"/>
    <w:rsid w:val="0052728E"/>
    <w:rsid w:val="00532F47"/>
    <w:rsid w:val="005339FA"/>
    <w:rsid w:val="005354B5"/>
    <w:rsid w:val="00546226"/>
    <w:rsid w:val="005513DA"/>
    <w:rsid w:val="00552BA5"/>
    <w:rsid w:val="00552DA5"/>
    <w:rsid w:val="00554259"/>
    <w:rsid w:val="00557CE7"/>
    <w:rsid w:val="0056373A"/>
    <w:rsid w:val="005824A1"/>
    <w:rsid w:val="0058489F"/>
    <w:rsid w:val="00586B6D"/>
    <w:rsid w:val="00587E54"/>
    <w:rsid w:val="00594929"/>
    <w:rsid w:val="0059768E"/>
    <w:rsid w:val="005B4BD6"/>
    <w:rsid w:val="005B76D7"/>
    <w:rsid w:val="005C465A"/>
    <w:rsid w:val="005D099B"/>
    <w:rsid w:val="005D3709"/>
    <w:rsid w:val="005D47B1"/>
    <w:rsid w:val="005F49C9"/>
    <w:rsid w:val="005F5B73"/>
    <w:rsid w:val="005F6849"/>
    <w:rsid w:val="006027B2"/>
    <w:rsid w:val="006106AB"/>
    <w:rsid w:val="00612381"/>
    <w:rsid w:val="00613117"/>
    <w:rsid w:val="00616894"/>
    <w:rsid w:val="0062035F"/>
    <w:rsid w:val="006274BF"/>
    <w:rsid w:val="00632617"/>
    <w:rsid w:val="00636569"/>
    <w:rsid w:val="00640B25"/>
    <w:rsid w:val="00641038"/>
    <w:rsid w:val="00646079"/>
    <w:rsid w:val="00646D1C"/>
    <w:rsid w:val="006473B7"/>
    <w:rsid w:val="0065548A"/>
    <w:rsid w:val="006654E1"/>
    <w:rsid w:val="00666B49"/>
    <w:rsid w:val="00667507"/>
    <w:rsid w:val="00677F22"/>
    <w:rsid w:val="006A1E20"/>
    <w:rsid w:val="006A4B37"/>
    <w:rsid w:val="006B03DA"/>
    <w:rsid w:val="006B5DBE"/>
    <w:rsid w:val="006C15E0"/>
    <w:rsid w:val="006C3628"/>
    <w:rsid w:val="006D55BD"/>
    <w:rsid w:val="006D7A6F"/>
    <w:rsid w:val="006E1311"/>
    <w:rsid w:val="006F3179"/>
    <w:rsid w:val="007020BB"/>
    <w:rsid w:val="0070388D"/>
    <w:rsid w:val="00706585"/>
    <w:rsid w:val="007110A8"/>
    <w:rsid w:val="00712A06"/>
    <w:rsid w:val="0071568C"/>
    <w:rsid w:val="0071697C"/>
    <w:rsid w:val="00722699"/>
    <w:rsid w:val="00727B64"/>
    <w:rsid w:val="00727B6D"/>
    <w:rsid w:val="007354AE"/>
    <w:rsid w:val="00740CE7"/>
    <w:rsid w:val="00741121"/>
    <w:rsid w:val="007411CD"/>
    <w:rsid w:val="00742E48"/>
    <w:rsid w:val="00751CA0"/>
    <w:rsid w:val="00752268"/>
    <w:rsid w:val="00754680"/>
    <w:rsid w:val="00757D41"/>
    <w:rsid w:val="00763311"/>
    <w:rsid w:val="00767049"/>
    <w:rsid w:val="00767D60"/>
    <w:rsid w:val="00772E2B"/>
    <w:rsid w:val="0077443D"/>
    <w:rsid w:val="007837AB"/>
    <w:rsid w:val="0078392A"/>
    <w:rsid w:val="007870F0"/>
    <w:rsid w:val="0079270E"/>
    <w:rsid w:val="007A2703"/>
    <w:rsid w:val="007A3AD2"/>
    <w:rsid w:val="007C6C96"/>
    <w:rsid w:val="007C6F86"/>
    <w:rsid w:val="007D0AA1"/>
    <w:rsid w:val="007D4A9C"/>
    <w:rsid w:val="007E03F3"/>
    <w:rsid w:val="007E2BB9"/>
    <w:rsid w:val="007E60B0"/>
    <w:rsid w:val="007F4D05"/>
    <w:rsid w:val="007F5973"/>
    <w:rsid w:val="007F7DE2"/>
    <w:rsid w:val="007F7ED6"/>
    <w:rsid w:val="00802550"/>
    <w:rsid w:val="008031CE"/>
    <w:rsid w:val="00814494"/>
    <w:rsid w:val="0082411F"/>
    <w:rsid w:val="00824AF0"/>
    <w:rsid w:val="0083325C"/>
    <w:rsid w:val="008348B3"/>
    <w:rsid w:val="00836950"/>
    <w:rsid w:val="00836ACB"/>
    <w:rsid w:val="0084616B"/>
    <w:rsid w:val="008534A6"/>
    <w:rsid w:val="008569F1"/>
    <w:rsid w:val="00861F7A"/>
    <w:rsid w:val="00862A42"/>
    <w:rsid w:val="00864CF0"/>
    <w:rsid w:val="00866897"/>
    <w:rsid w:val="00866D3C"/>
    <w:rsid w:val="00873380"/>
    <w:rsid w:val="00882E4F"/>
    <w:rsid w:val="00884707"/>
    <w:rsid w:val="008922A2"/>
    <w:rsid w:val="008972A1"/>
    <w:rsid w:val="008978D5"/>
    <w:rsid w:val="008A2906"/>
    <w:rsid w:val="008A50E9"/>
    <w:rsid w:val="008A7812"/>
    <w:rsid w:val="008C4AA7"/>
    <w:rsid w:val="008D2082"/>
    <w:rsid w:val="008E4ABD"/>
    <w:rsid w:val="008E7044"/>
    <w:rsid w:val="008F2CA2"/>
    <w:rsid w:val="008F57EC"/>
    <w:rsid w:val="008F61C5"/>
    <w:rsid w:val="0091083A"/>
    <w:rsid w:val="00913D6A"/>
    <w:rsid w:val="00927C27"/>
    <w:rsid w:val="00930741"/>
    <w:rsid w:val="00940555"/>
    <w:rsid w:val="00957AB1"/>
    <w:rsid w:val="009606EA"/>
    <w:rsid w:val="00962B1D"/>
    <w:rsid w:val="00976DBD"/>
    <w:rsid w:val="00976FFC"/>
    <w:rsid w:val="009821AA"/>
    <w:rsid w:val="00986DA8"/>
    <w:rsid w:val="00995FC6"/>
    <w:rsid w:val="009A0B8B"/>
    <w:rsid w:val="009B4188"/>
    <w:rsid w:val="009C0823"/>
    <w:rsid w:val="009E0824"/>
    <w:rsid w:val="009E46A6"/>
    <w:rsid w:val="009E729E"/>
    <w:rsid w:val="009E7A88"/>
    <w:rsid w:val="009F1501"/>
    <w:rsid w:val="00A17D4F"/>
    <w:rsid w:val="00A24FFE"/>
    <w:rsid w:val="00A271A4"/>
    <w:rsid w:val="00A363C7"/>
    <w:rsid w:val="00A37B1C"/>
    <w:rsid w:val="00A51279"/>
    <w:rsid w:val="00A5194B"/>
    <w:rsid w:val="00A519C3"/>
    <w:rsid w:val="00A55728"/>
    <w:rsid w:val="00A7156B"/>
    <w:rsid w:val="00A74540"/>
    <w:rsid w:val="00A74985"/>
    <w:rsid w:val="00A7570A"/>
    <w:rsid w:val="00A96177"/>
    <w:rsid w:val="00AA063F"/>
    <w:rsid w:val="00AA2C09"/>
    <w:rsid w:val="00AA4C21"/>
    <w:rsid w:val="00AA503E"/>
    <w:rsid w:val="00AA64C6"/>
    <w:rsid w:val="00AB09B5"/>
    <w:rsid w:val="00AB3C1E"/>
    <w:rsid w:val="00AE123E"/>
    <w:rsid w:val="00AE2C0D"/>
    <w:rsid w:val="00AE55FB"/>
    <w:rsid w:val="00AF08BD"/>
    <w:rsid w:val="00AF7AE7"/>
    <w:rsid w:val="00B0263C"/>
    <w:rsid w:val="00B17E83"/>
    <w:rsid w:val="00B20142"/>
    <w:rsid w:val="00B26949"/>
    <w:rsid w:val="00B528FD"/>
    <w:rsid w:val="00B565B8"/>
    <w:rsid w:val="00B57ED0"/>
    <w:rsid w:val="00B6304C"/>
    <w:rsid w:val="00B80A7F"/>
    <w:rsid w:val="00B9196C"/>
    <w:rsid w:val="00B94E0E"/>
    <w:rsid w:val="00B9722F"/>
    <w:rsid w:val="00BA0E52"/>
    <w:rsid w:val="00BA550D"/>
    <w:rsid w:val="00BB0BB9"/>
    <w:rsid w:val="00BB3EBE"/>
    <w:rsid w:val="00BB4095"/>
    <w:rsid w:val="00BC58B4"/>
    <w:rsid w:val="00BD1B18"/>
    <w:rsid w:val="00BD306D"/>
    <w:rsid w:val="00BD3688"/>
    <w:rsid w:val="00BE0B18"/>
    <w:rsid w:val="00C05F5C"/>
    <w:rsid w:val="00C2066D"/>
    <w:rsid w:val="00C20E32"/>
    <w:rsid w:val="00C27EFF"/>
    <w:rsid w:val="00C365F7"/>
    <w:rsid w:val="00C37C2E"/>
    <w:rsid w:val="00C40439"/>
    <w:rsid w:val="00C44567"/>
    <w:rsid w:val="00C46501"/>
    <w:rsid w:val="00C57375"/>
    <w:rsid w:val="00C6052E"/>
    <w:rsid w:val="00C61405"/>
    <w:rsid w:val="00C66403"/>
    <w:rsid w:val="00C66C90"/>
    <w:rsid w:val="00C678C9"/>
    <w:rsid w:val="00C713F2"/>
    <w:rsid w:val="00C71845"/>
    <w:rsid w:val="00C71A32"/>
    <w:rsid w:val="00C75489"/>
    <w:rsid w:val="00C77741"/>
    <w:rsid w:val="00C81CF8"/>
    <w:rsid w:val="00C8366B"/>
    <w:rsid w:val="00C84FED"/>
    <w:rsid w:val="00C90A31"/>
    <w:rsid w:val="00C919F7"/>
    <w:rsid w:val="00C961E1"/>
    <w:rsid w:val="00CA1CC0"/>
    <w:rsid w:val="00CB40E5"/>
    <w:rsid w:val="00CB50F6"/>
    <w:rsid w:val="00CB7F9D"/>
    <w:rsid w:val="00CC0C8B"/>
    <w:rsid w:val="00CD2C19"/>
    <w:rsid w:val="00CD74CD"/>
    <w:rsid w:val="00CE01C0"/>
    <w:rsid w:val="00CE3490"/>
    <w:rsid w:val="00CE48AB"/>
    <w:rsid w:val="00CE4D05"/>
    <w:rsid w:val="00CF175C"/>
    <w:rsid w:val="00CF294C"/>
    <w:rsid w:val="00D028C7"/>
    <w:rsid w:val="00D0509A"/>
    <w:rsid w:val="00D0674F"/>
    <w:rsid w:val="00D06A6A"/>
    <w:rsid w:val="00D166C3"/>
    <w:rsid w:val="00D217F9"/>
    <w:rsid w:val="00D22665"/>
    <w:rsid w:val="00D37969"/>
    <w:rsid w:val="00D40EFB"/>
    <w:rsid w:val="00D47E33"/>
    <w:rsid w:val="00D47EFB"/>
    <w:rsid w:val="00D528D3"/>
    <w:rsid w:val="00D540D7"/>
    <w:rsid w:val="00D67DDC"/>
    <w:rsid w:val="00D75B9A"/>
    <w:rsid w:val="00D76058"/>
    <w:rsid w:val="00D77024"/>
    <w:rsid w:val="00D804A8"/>
    <w:rsid w:val="00D82071"/>
    <w:rsid w:val="00D87544"/>
    <w:rsid w:val="00D92991"/>
    <w:rsid w:val="00D93B6C"/>
    <w:rsid w:val="00D94DF4"/>
    <w:rsid w:val="00DA48FB"/>
    <w:rsid w:val="00DB01E4"/>
    <w:rsid w:val="00DB0258"/>
    <w:rsid w:val="00DB16A7"/>
    <w:rsid w:val="00DB208C"/>
    <w:rsid w:val="00DB6F32"/>
    <w:rsid w:val="00DC3E47"/>
    <w:rsid w:val="00DD04B5"/>
    <w:rsid w:val="00DD09EB"/>
    <w:rsid w:val="00DD57CF"/>
    <w:rsid w:val="00DE44DA"/>
    <w:rsid w:val="00DF0431"/>
    <w:rsid w:val="00DF23A9"/>
    <w:rsid w:val="00E01670"/>
    <w:rsid w:val="00E02CBC"/>
    <w:rsid w:val="00E11A7F"/>
    <w:rsid w:val="00E165E6"/>
    <w:rsid w:val="00E229EE"/>
    <w:rsid w:val="00E23892"/>
    <w:rsid w:val="00E27DF1"/>
    <w:rsid w:val="00E31FC6"/>
    <w:rsid w:val="00E40BB4"/>
    <w:rsid w:val="00E5118C"/>
    <w:rsid w:val="00E53B25"/>
    <w:rsid w:val="00E7301E"/>
    <w:rsid w:val="00E743DB"/>
    <w:rsid w:val="00E8203B"/>
    <w:rsid w:val="00E83B21"/>
    <w:rsid w:val="00E86934"/>
    <w:rsid w:val="00E944CF"/>
    <w:rsid w:val="00E96213"/>
    <w:rsid w:val="00EA00D2"/>
    <w:rsid w:val="00EA0400"/>
    <w:rsid w:val="00EA1EBD"/>
    <w:rsid w:val="00EA3FC6"/>
    <w:rsid w:val="00EA6382"/>
    <w:rsid w:val="00EA7A97"/>
    <w:rsid w:val="00EB1C79"/>
    <w:rsid w:val="00EC2FFA"/>
    <w:rsid w:val="00EC7AFB"/>
    <w:rsid w:val="00ED2152"/>
    <w:rsid w:val="00ED379D"/>
    <w:rsid w:val="00ED598A"/>
    <w:rsid w:val="00EE1DFF"/>
    <w:rsid w:val="00EE6A7E"/>
    <w:rsid w:val="00EF3317"/>
    <w:rsid w:val="00EF7B8E"/>
    <w:rsid w:val="00F03996"/>
    <w:rsid w:val="00F0461D"/>
    <w:rsid w:val="00F04B3F"/>
    <w:rsid w:val="00F13293"/>
    <w:rsid w:val="00F16C54"/>
    <w:rsid w:val="00F174F3"/>
    <w:rsid w:val="00F24FDD"/>
    <w:rsid w:val="00F32B39"/>
    <w:rsid w:val="00F33C07"/>
    <w:rsid w:val="00F379C6"/>
    <w:rsid w:val="00F43CE2"/>
    <w:rsid w:val="00F44721"/>
    <w:rsid w:val="00F47E68"/>
    <w:rsid w:val="00F51585"/>
    <w:rsid w:val="00F51DAF"/>
    <w:rsid w:val="00F54801"/>
    <w:rsid w:val="00F6070A"/>
    <w:rsid w:val="00F609A0"/>
    <w:rsid w:val="00F647CF"/>
    <w:rsid w:val="00F6538D"/>
    <w:rsid w:val="00F6547F"/>
    <w:rsid w:val="00F7137D"/>
    <w:rsid w:val="00F7186D"/>
    <w:rsid w:val="00F86F76"/>
    <w:rsid w:val="00F9191A"/>
    <w:rsid w:val="00F97540"/>
    <w:rsid w:val="00FA2B27"/>
    <w:rsid w:val="00FA3358"/>
    <w:rsid w:val="00FA5307"/>
    <w:rsid w:val="00FB6EBC"/>
    <w:rsid w:val="00FC30F2"/>
    <w:rsid w:val="00FC361B"/>
    <w:rsid w:val="00FC5122"/>
    <w:rsid w:val="00FD1719"/>
    <w:rsid w:val="00FD2840"/>
    <w:rsid w:val="00FD640D"/>
    <w:rsid w:val="00FE1940"/>
    <w:rsid w:val="00FE2558"/>
    <w:rsid w:val="00FF2071"/>
    <w:rsid w:val="00FF589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FB0D1"/>
  <w15:chartTrackingRefBased/>
  <w15:docId w15:val="{B5D59D11-1576-409C-A884-F6332FAD2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3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63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3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3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3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3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3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3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3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3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463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3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3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3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3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3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3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3DA"/>
    <w:rPr>
      <w:rFonts w:eastAsiaTheme="majorEastAsia" w:cstheme="majorBidi"/>
      <w:color w:val="272727" w:themeColor="text1" w:themeTint="D8"/>
    </w:rPr>
  </w:style>
  <w:style w:type="paragraph" w:styleId="Title">
    <w:name w:val="Title"/>
    <w:basedOn w:val="Normal"/>
    <w:next w:val="Normal"/>
    <w:link w:val="TitleChar"/>
    <w:uiPriority w:val="10"/>
    <w:qFormat/>
    <w:rsid w:val="004463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3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3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3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3DA"/>
    <w:pPr>
      <w:spacing w:before="160"/>
      <w:jc w:val="center"/>
    </w:pPr>
    <w:rPr>
      <w:i/>
      <w:iCs/>
      <w:color w:val="404040" w:themeColor="text1" w:themeTint="BF"/>
    </w:rPr>
  </w:style>
  <w:style w:type="character" w:customStyle="1" w:styleId="QuoteChar">
    <w:name w:val="Quote Char"/>
    <w:basedOn w:val="DefaultParagraphFont"/>
    <w:link w:val="Quote"/>
    <w:uiPriority w:val="29"/>
    <w:rsid w:val="004463DA"/>
    <w:rPr>
      <w:i/>
      <w:iCs/>
      <w:color w:val="404040" w:themeColor="text1" w:themeTint="BF"/>
    </w:rPr>
  </w:style>
  <w:style w:type="paragraph" w:styleId="ListParagraph">
    <w:name w:val="List Paragraph"/>
    <w:basedOn w:val="Normal"/>
    <w:uiPriority w:val="34"/>
    <w:qFormat/>
    <w:rsid w:val="004463DA"/>
    <w:pPr>
      <w:ind w:left="720"/>
      <w:contextualSpacing/>
    </w:pPr>
  </w:style>
  <w:style w:type="character" w:styleId="IntenseEmphasis">
    <w:name w:val="Intense Emphasis"/>
    <w:basedOn w:val="DefaultParagraphFont"/>
    <w:uiPriority w:val="21"/>
    <w:qFormat/>
    <w:rsid w:val="004463DA"/>
    <w:rPr>
      <w:i/>
      <w:iCs/>
      <w:color w:val="0F4761" w:themeColor="accent1" w:themeShade="BF"/>
    </w:rPr>
  </w:style>
  <w:style w:type="paragraph" w:styleId="IntenseQuote">
    <w:name w:val="Intense Quote"/>
    <w:basedOn w:val="Normal"/>
    <w:next w:val="Normal"/>
    <w:link w:val="IntenseQuoteChar"/>
    <w:uiPriority w:val="30"/>
    <w:qFormat/>
    <w:rsid w:val="004463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3DA"/>
    <w:rPr>
      <w:i/>
      <w:iCs/>
      <w:color w:val="0F4761" w:themeColor="accent1" w:themeShade="BF"/>
    </w:rPr>
  </w:style>
  <w:style w:type="character" w:styleId="IntenseReference">
    <w:name w:val="Intense Reference"/>
    <w:basedOn w:val="DefaultParagraphFont"/>
    <w:uiPriority w:val="32"/>
    <w:qFormat/>
    <w:rsid w:val="004463DA"/>
    <w:rPr>
      <w:b/>
      <w:bCs/>
      <w:smallCaps/>
      <w:color w:val="0F4761" w:themeColor="accent1" w:themeShade="BF"/>
      <w:spacing w:val="5"/>
    </w:rPr>
  </w:style>
  <w:style w:type="table" w:styleId="TableGrid">
    <w:name w:val="Table Grid"/>
    <w:basedOn w:val="TableNormal"/>
    <w:uiPriority w:val="39"/>
    <w:rsid w:val="00D87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79C6"/>
    <w:rPr>
      <w:color w:val="467886" w:themeColor="hyperlink"/>
      <w:u w:val="single"/>
    </w:rPr>
  </w:style>
  <w:style w:type="character" w:styleId="UnresolvedMention">
    <w:name w:val="Unresolved Mention"/>
    <w:basedOn w:val="DefaultParagraphFont"/>
    <w:uiPriority w:val="99"/>
    <w:semiHidden/>
    <w:unhideWhenUsed/>
    <w:rsid w:val="00F379C6"/>
    <w:rPr>
      <w:color w:val="605E5C"/>
      <w:shd w:val="clear" w:color="auto" w:fill="E1DFDD"/>
    </w:rPr>
  </w:style>
  <w:style w:type="character" w:styleId="FollowedHyperlink">
    <w:name w:val="FollowedHyperlink"/>
    <w:basedOn w:val="DefaultParagraphFont"/>
    <w:uiPriority w:val="99"/>
    <w:semiHidden/>
    <w:unhideWhenUsed/>
    <w:rsid w:val="00CE48AB"/>
    <w:rPr>
      <w:color w:val="96607D" w:themeColor="followedHyperlink"/>
      <w:u w:val="single"/>
    </w:rPr>
  </w:style>
  <w:style w:type="paragraph" w:customStyle="1" w:styleId="EndNoteBibliographyTitle">
    <w:name w:val="EndNote Bibliography Title"/>
    <w:basedOn w:val="Normal"/>
    <w:link w:val="EndNoteBibliographyTitleChar"/>
    <w:rsid w:val="0007098C"/>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07098C"/>
    <w:rPr>
      <w:rFonts w:ascii="Aptos" w:hAnsi="Aptos"/>
      <w:noProof/>
      <w:lang w:val="en-US"/>
    </w:rPr>
  </w:style>
  <w:style w:type="paragraph" w:customStyle="1" w:styleId="EndNoteBibliography">
    <w:name w:val="EndNote Bibliography"/>
    <w:basedOn w:val="Normal"/>
    <w:link w:val="EndNoteBibliographyChar"/>
    <w:rsid w:val="0007098C"/>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07098C"/>
    <w:rPr>
      <w:rFonts w:ascii="Aptos" w:hAnsi="Aptos"/>
      <w:noProof/>
      <w:lang w:val="en-US"/>
    </w:rPr>
  </w:style>
  <w:style w:type="table" w:customStyle="1" w:styleId="TableGrid1">
    <w:name w:val="Table Grid1"/>
    <w:basedOn w:val="TableNormal"/>
    <w:next w:val="TableGrid"/>
    <w:uiPriority w:val="39"/>
    <w:rsid w:val="004C7DB2"/>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44CE0"/>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2330705">
      <w:bodyDiv w:val="1"/>
      <w:marLeft w:val="0"/>
      <w:marRight w:val="0"/>
      <w:marTop w:val="0"/>
      <w:marBottom w:val="0"/>
      <w:divBdr>
        <w:top w:val="none" w:sz="0" w:space="0" w:color="auto"/>
        <w:left w:val="none" w:sz="0" w:space="0" w:color="auto"/>
        <w:bottom w:val="none" w:sz="0" w:space="0" w:color="auto"/>
        <w:right w:val="none" w:sz="0" w:space="0" w:color="auto"/>
      </w:divBdr>
    </w:div>
    <w:div w:id="20398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454</TotalTime>
  <Pages>9</Pages>
  <Words>3967</Words>
  <Characters>20629</Characters>
  <Application>Microsoft Office Word</Application>
  <DocSecurity>0</DocSecurity>
  <Lines>438</Lines>
  <Paragraphs>250</Paragraphs>
  <ScaleCrop>false</ScaleCrop>
  <Company/>
  <LinksUpToDate>false</LinksUpToDate>
  <CharactersWithSpaces>24346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Dall'ora</dc:creator>
  <cp:keywords/>
  <dc:description/>
  <cp:lastModifiedBy>Gil Dekel</cp:lastModifiedBy>
  <cp:revision>484</cp:revision>
  <dcterms:created xsi:type="dcterms:W3CDTF">2024-09-04T13:19:00Z</dcterms:created>
  <dcterms:modified xsi:type="dcterms:W3CDTF">2024-11-20T10:44:00Z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da974608d317457577f0f12b35177ee816ee6d8fd37baeaea9068e13ab7f938e</vt:lpwstr>
  </property>
</Properties>
</file>